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DF099B">
      <w:pPr>
        <w:ind w:left="426" w:right="-17"/>
        <w:jc w:val="center"/>
        <w:rPr>
          <w:rFonts w:ascii="Arial" w:hAnsi="Arial" w:cs="Arial"/>
          <w:b/>
        </w:rPr>
      </w:pPr>
      <w:bookmarkStart w:id="0" w:name="_Hlk142658039"/>
      <w:r>
        <w:rPr>
          <w:rFonts w:ascii="Arial" w:hAnsi="Arial" w:cs="Arial"/>
          <w:b/>
        </w:rPr>
        <w:t>ANEXO VII</w:t>
      </w:r>
    </w:p>
    <w:p w14:paraId="44208799">
      <w:pPr>
        <w:ind w:left="426" w:right="-17"/>
        <w:jc w:val="center"/>
        <w:rPr>
          <w:rFonts w:ascii="Arial" w:hAnsi="Arial" w:cs="Arial"/>
          <w:b/>
        </w:rPr>
      </w:pPr>
    </w:p>
    <w:p w14:paraId="3DCA27BE">
      <w:pPr>
        <w:ind w:left="426" w:right="-17"/>
        <w:jc w:val="center"/>
        <w:rPr>
          <w:rFonts w:ascii="Arial" w:hAnsi="Arial" w:cs="Arial"/>
          <w:b/>
        </w:rPr>
      </w:pPr>
      <w:r>
        <w:rPr>
          <w:rFonts w:ascii="Arial" w:hAnsi="Arial" w:cs="Arial"/>
          <w:b/>
        </w:rPr>
        <w:t>MINUTA DE TERMO DE CONTRATO DE SERVIÇOS</w:t>
      </w:r>
      <w:bookmarkEnd w:id="0"/>
    </w:p>
    <w:p w14:paraId="1F5496CF">
      <w:pPr>
        <w:ind w:left="426" w:right="-17"/>
        <w:jc w:val="center"/>
        <w:rPr>
          <w:rFonts w:ascii="Arial" w:hAnsi="Arial" w:cs="Arial"/>
          <w:b/>
        </w:rPr>
      </w:pPr>
    </w:p>
    <w:p w14:paraId="375558A3">
      <w:pPr>
        <w:ind w:left="4253" w:right="-17"/>
        <w:jc w:val="both"/>
        <w:rPr>
          <w:rFonts w:ascii="Arial" w:hAnsi="Arial" w:cs="Arial"/>
          <w:b/>
        </w:rPr>
      </w:pPr>
    </w:p>
    <w:p w14:paraId="11F451CA">
      <w:pPr>
        <w:ind w:left="4253" w:right="-17"/>
        <w:jc w:val="both"/>
        <w:rPr>
          <w:rFonts w:ascii="Arial" w:hAnsi="Arial" w:cs="Arial"/>
          <w:b/>
        </w:rPr>
      </w:pPr>
      <w:r>
        <w:rPr>
          <w:rFonts w:ascii="Arial" w:hAnsi="Arial" w:cs="Arial"/>
          <w:b/>
        </w:rPr>
        <w:t xml:space="preserve">CONTRATO ADMINISTRATIVO </w:t>
      </w:r>
      <w:bookmarkStart w:id="1" w:name="_Hlk142658004"/>
      <w:r>
        <w:rPr>
          <w:rFonts w:ascii="Arial" w:hAnsi="Arial" w:cs="Arial"/>
          <w:b/>
        </w:rPr>
        <w:t xml:space="preserve">Nº ......../...., </w:t>
      </w:r>
      <w:bookmarkStart w:id="2" w:name="_Hlk142657986"/>
      <w:r>
        <w:rPr>
          <w:rFonts w:ascii="Arial" w:hAnsi="Arial" w:cs="Arial"/>
          <w:b/>
        </w:rPr>
        <w:t>QUE FAZEM ENTRE SI O MUNICÍPIO DE NOVA FRIBURGO E A EMPRESA</w:t>
      </w:r>
      <w:bookmarkEnd w:id="2"/>
      <w:r>
        <w:rPr>
          <w:rFonts w:ascii="Arial" w:hAnsi="Arial" w:cs="Arial"/>
          <w:b/>
        </w:rPr>
        <w:t xml:space="preserve">............................................... </w:t>
      </w:r>
    </w:p>
    <w:p w14:paraId="05F76B21">
      <w:pPr>
        <w:spacing w:line="276" w:lineRule="auto"/>
        <w:ind w:left="5103" w:right="-17"/>
        <w:jc w:val="both"/>
        <w:rPr>
          <w:rFonts w:ascii="Arial" w:hAnsi="Arial" w:cs="Arial"/>
          <w:b/>
        </w:rPr>
      </w:pPr>
    </w:p>
    <w:bookmarkEnd w:id="1"/>
    <w:p w14:paraId="0F9881B4">
      <w:pPr>
        <w:pStyle w:val="13"/>
        <w:spacing w:line="276" w:lineRule="auto"/>
        <w:jc w:val="both"/>
        <w:rPr>
          <w:rFonts w:ascii="Arial" w:hAnsi="Arial" w:cs="Arial"/>
          <w:sz w:val="22"/>
          <w:szCs w:val="22"/>
        </w:rPr>
      </w:pPr>
      <w:r>
        <w:rPr>
          <w:rFonts w:ascii="Arial" w:hAnsi="Arial" w:cs="Arial"/>
          <w:sz w:val="22"/>
          <w:szCs w:val="22"/>
        </w:rPr>
        <w:t xml:space="preserve">O MUNICÍPIO DE NOVA FRIBURGO, com sede na Avenida Alberto Braune, 225 - Centro, na cidade de Nova Friburgo / RJ, inscrito(a) no CNPJ sob o nº 28.606.630/0001-23, neste ato representado(a) pelo(a) Exmo. Senhor Prefeito Municipal JOHNNY MAYCON CORDEIRO RIBEIRO, </w:t>
      </w:r>
      <w:r>
        <w:rPr>
          <w:rFonts w:ascii="Arial" w:hAnsi="Arial" w:cs="Arial"/>
          <w:sz w:val="22"/>
          <w:szCs w:val="22"/>
          <w:lang w:val="pt-PT"/>
        </w:rPr>
        <w:t>nomeado(a) pela Portaria nº ......, de ..... de ..................... de 20..., publicada no</w:t>
      </w:r>
      <w:r>
        <w:rPr>
          <w:rFonts w:ascii="Arial" w:hAnsi="Arial" w:cs="Arial"/>
          <w:i/>
          <w:iCs/>
          <w:sz w:val="22"/>
          <w:szCs w:val="22"/>
          <w:lang w:val="pt-PT"/>
        </w:rPr>
        <w:t xml:space="preserve"> DOENF </w:t>
      </w:r>
      <w:r>
        <w:rPr>
          <w:rFonts w:ascii="Arial" w:hAnsi="Arial" w:cs="Arial"/>
          <w:sz w:val="22"/>
          <w:szCs w:val="22"/>
          <w:lang w:val="pt-PT"/>
        </w:rPr>
        <w:t xml:space="preserve">de ..... de ............... de ..........., portador da Matrícula Funcional nº .........., </w:t>
      </w:r>
      <w:r>
        <w:rPr>
          <w:rFonts w:ascii="Arial" w:hAnsi="Arial" w:cs="Arial"/>
          <w:sz w:val="22"/>
          <w:szCs w:val="22"/>
        </w:rPr>
        <w:t xml:space="preserve">inscrito no CPF sob o nº </w:t>
      </w:r>
      <w:r>
        <w:rPr>
          <w:rFonts w:ascii="Arial" w:hAnsi="Arial" w:cs="Arial"/>
          <w:bCs/>
          <w:sz w:val="22"/>
          <w:szCs w:val="22"/>
        </w:rPr>
        <w:t>.........................................,</w:t>
      </w:r>
      <w:r>
        <w:rPr>
          <w:rFonts w:ascii="Arial" w:hAnsi="Arial" w:cs="Arial"/>
          <w:sz w:val="22"/>
          <w:szCs w:val="22"/>
        </w:rPr>
        <w:t xml:space="preserve"> doravante denominado CONTRATANTE, e o(a) .............................. inscrito(a) no CNPJ/MF sob o nº ............................, sediado(a) na ..................................., doravante designada CONTRATADO, neste ato representado(a)  por .....................</w:t>
      </w:r>
      <w:r>
        <w:rPr>
          <w:rFonts w:ascii="Arial" w:hAnsi="Arial" w:cs="Arial"/>
          <w:sz w:val="22"/>
          <w:szCs w:val="22"/>
          <w:lang w:val="pt-PT"/>
        </w:rPr>
        <w:t xml:space="preserve"> (nome e função no contratado)</w:t>
      </w:r>
      <w:r>
        <w:rPr>
          <w:rFonts w:ascii="Arial" w:hAnsi="Arial" w:cs="Arial"/>
          <w:sz w:val="22"/>
          <w:szCs w:val="22"/>
        </w:rPr>
        <w:t xml:space="preserve">, portador(a) da Carteira de Identidade nº ................., expedida pela (o) .................., e CPF nº ........................., </w:t>
      </w:r>
      <w:r>
        <w:rPr>
          <w:rFonts w:ascii="Arial" w:hAnsi="Arial" w:cs="Arial"/>
          <w:i/>
          <w:iCs/>
          <w:sz w:val="22"/>
          <w:szCs w:val="22"/>
          <w:lang w:val="pt-PT"/>
        </w:rPr>
        <w:t xml:space="preserve">conforme atos constitutivos da empresa </w:t>
      </w:r>
      <w:r>
        <w:rPr>
          <w:rFonts w:ascii="Arial" w:hAnsi="Arial" w:cs="Arial"/>
          <w:b/>
          <w:bCs/>
          <w:i/>
          <w:iCs/>
          <w:sz w:val="22"/>
          <w:szCs w:val="22"/>
          <w:lang w:val="pt-PT"/>
        </w:rPr>
        <w:t>OU</w:t>
      </w:r>
      <w:r>
        <w:rPr>
          <w:rFonts w:ascii="Arial" w:hAnsi="Arial" w:cs="Arial"/>
          <w:i/>
          <w:iCs/>
          <w:sz w:val="22"/>
          <w:szCs w:val="22"/>
          <w:lang w:val="pt-PT"/>
        </w:rPr>
        <w:t xml:space="preserve"> procuração apresentada nos autos</w:t>
      </w:r>
      <w:r>
        <w:rPr>
          <w:rFonts w:ascii="Arial" w:hAnsi="Arial" w:cs="Arial"/>
          <w:sz w:val="22"/>
          <w:szCs w:val="22"/>
        </w:rPr>
        <w:t xml:space="preserve"> tendo em vista o que consta no </w:t>
      </w:r>
      <w:r>
        <w:rPr>
          <w:rFonts w:ascii="Arial" w:hAnsi="Arial" w:cs="Arial"/>
          <w:b/>
          <w:bCs/>
          <w:sz w:val="22"/>
          <w:szCs w:val="22"/>
        </w:rPr>
        <w:t xml:space="preserve">Processo Administrativo nº </w:t>
      </w:r>
      <w:r>
        <w:rPr>
          <w:rFonts w:hint="default" w:ascii="Arial" w:hAnsi="Arial" w:cs="Arial"/>
          <w:b/>
          <w:bCs/>
          <w:sz w:val="22"/>
          <w:szCs w:val="22"/>
          <w:lang w:val="pt-BR"/>
        </w:rPr>
        <w:t>23.287/2026</w:t>
      </w:r>
      <w:r>
        <w:rPr>
          <w:rFonts w:ascii="Arial" w:hAnsi="Arial" w:cs="Arial"/>
          <w:b/>
          <w:bCs/>
          <w:sz w:val="22"/>
          <w:szCs w:val="22"/>
        </w:rPr>
        <w:t xml:space="preserve">, </w:t>
      </w:r>
      <w:r>
        <w:rPr>
          <w:rFonts w:ascii="Arial" w:hAnsi="Arial" w:cs="Arial"/>
          <w:sz w:val="22"/>
          <w:szCs w:val="22"/>
        </w:rPr>
        <w:t>e em observância às dispo</w:t>
      </w:r>
      <w:bookmarkStart w:id="5" w:name="_GoBack"/>
      <w:r>
        <w:rPr>
          <w:rFonts w:ascii="Arial" w:hAnsi="Arial" w:cs="Arial"/>
          <w:sz w:val="22"/>
          <w:szCs w:val="22"/>
          <w:highlight w:val="none"/>
        </w:rPr>
        <w:t xml:space="preserve">sições da Lei nº 14.133, de 1º de abril de 2021 </w:t>
      </w:r>
      <w:r>
        <w:rPr>
          <w:rFonts w:ascii="Arial" w:hAnsi="Arial" w:cs="Arial"/>
          <w:sz w:val="22"/>
          <w:szCs w:val="22"/>
          <w:highlight w:val="none"/>
          <w:lang w:val="pt-PT"/>
        </w:rPr>
        <w:t>e demais legislações aplicáveis</w:t>
      </w:r>
      <w:r>
        <w:rPr>
          <w:rFonts w:ascii="Arial" w:hAnsi="Arial" w:cs="Arial"/>
          <w:sz w:val="22"/>
          <w:szCs w:val="22"/>
          <w:highlight w:val="none"/>
        </w:rPr>
        <w:t>,</w:t>
      </w:r>
      <w:r>
        <w:rPr>
          <w:rFonts w:ascii="Arial" w:hAnsi="Arial" w:cs="Arial"/>
          <w:i/>
          <w:sz w:val="22"/>
          <w:szCs w:val="22"/>
          <w:highlight w:val="none"/>
        </w:rPr>
        <w:t xml:space="preserve"> </w:t>
      </w:r>
      <w:r>
        <w:rPr>
          <w:rFonts w:ascii="Arial" w:hAnsi="Arial" w:cs="Arial"/>
          <w:sz w:val="22"/>
          <w:szCs w:val="22"/>
          <w:highlight w:val="none"/>
        </w:rPr>
        <w:t xml:space="preserve">resolvem celebrar o presente Termo de Contrato, decorrente do </w:t>
      </w:r>
      <w:r>
        <w:rPr>
          <w:rFonts w:ascii="Arial" w:hAnsi="Arial" w:cs="Arial"/>
          <w:b/>
          <w:bCs/>
          <w:sz w:val="22"/>
          <w:szCs w:val="22"/>
          <w:highlight w:val="none"/>
        </w:rPr>
        <w:t xml:space="preserve">Pregão Eletrônico nº </w:t>
      </w:r>
      <w:r>
        <w:rPr>
          <w:rFonts w:hint="default" w:ascii="Arial" w:hAnsi="Arial" w:cs="Arial"/>
          <w:b/>
          <w:bCs/>
          <w:sz w:val="22"/>
          <w:szCs w:val="22"/>
          <w:highlight w:val="none"/>
          <w:lang w:val="pt-BR"/>
        </w:rPr>
        <w:t>56</w:t>
      </w:r>
      <w:r>
        <w:rPr>
          <w:rFonts w:ascii="Arial" w:hAnsi="Arial" w:cs="Arial"/>
          <w:b/>
          <w:bCs/>
          <w:sz w:val="22"/>
          <w:szCs w:val="22"/>
          <w:highlight w:val="none"/>
        </w:rPr>
        <w:t>/20</w:t>
      </w:r>
      <w:r>
        <w:rPr>
          <w:rFonts w:hint="default" w:ascii="Arial" w:hAnsi="Arial" w:cs="Arial"/>
          <w:b/>
          <w:bCs/>
          <w:sz w:val="22"/>
          <w:szCs w:val="22"/>
          <w:highlight w:val="none"/>
          <w:lang w:val="pt-BR"/>
        </w:rPr>
        <w:t>26</w:t>
      </w:r>
      <w:r>
        <w:rPr>
          <w:rFonts w:ascii="Arial" w:hAnsi="Arial" w:cs="Arial"/>
          <w:sz w:val="22"/>
          <w:szCs w:val="22"/>
          <w:highlight w:val="none"/>
        </w:rPr>
        <w:t xml:space="preserve">, </w:t>
      </w:r>
      <w:bookmarkEnd w:id="5"/>
      <w:r>
        <w:rPr>
          <w:rFonts w:ascii="Arial" w:hAnsi="Arial" w:cs="Arial"/>
          <w:sz w:val="22"/>
          <w:szCs w:val="22"/>
        </w:rPr>
        <w:t>mediante as cláusulas e condições a seguir enunciadas.</w:t>
      </w:r>
    </w:p>
    <w:p w14:paraId="6E46E4AB">
      <w:pPr>
        <w:pStyle w:val="19"/>
        <w:numPr>
          <w:ilvl w:val="0"/>
          <w:numId w:val="3"/>
        </w:numPr>
        <w:tabs>
          <w:tab w:val="left" w:pos="284"/>
        </w:tabs>
        <w:spacing w:line="276" w:lineRule="auto"/>
        <w:jc w:val="both"/>
        <w:rPr>
          <w:rFonts w:ascii="Arial" w:hAnsi="Arial" w:cs="Arial" w:eastAsiaTheme="majorEastAsia"/>
          <w:b/>
          <w:bCs/>
          <w:lang w:val="pt-BR" w:eastAsia="pt-BR"/>
        </w:rPr>
      </w:pPr>
      <w:r>
        <w:rPr>
          <w:rFonts w:ascii="Arial" w:hAnsi="Arial" w:cs="Arial" w:eastAsiaTheme="majorEastAsia"/>
          <w:b/>
          <w:bCs/>
          <w:lang w:val="pt-BR" w:eastAsia="pt-BR"/>
        </w:rPr>
        <w:t>CLÁUSULA PRIMEIRA – OBJETO (art. 92, I e II)</w:t>
      </w:r>
    </w:p>
    <w:p w14:paraId="2DB5753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 O objeto do presente instrumento é a</w:t>
      </w:r>
      <w:bookmarkStart w:id="3" w:name="__DdeLink__3295_3091048291"/>
      <w:r>
        <w:rPr>
          <w:rFonts w:hint="default" w:ascii="Arial" w:hAnsi="Arial" w:cs="Arial"/>
          <w:bCs/>
          <w:iCs/>
          <w:lang w:val="pt-BR"/>
        </w:rPr>
        <w:t xml:space="preserve"> </w:t>
      </w:r>
      <w:r>
        <w:rPr>
          <w:rFonts w:hint="default" w:ascii="Arial" w:hAnsi="Arial" w:cs="Arial"/>
          <w:b/>
          <w:bCs w:val="0"/>
          <w:iCs/>
          <w:lang w:val="pt-BR" w:eastAsia="pt-BR"/>
        </w:rPr>
        <w:t>CONTRATAÇÃO DE EMPRESA ESPECIALIZADA NA PRESTAÇÃO DE SERVIÇOS DE</w:t>
      </w:r>
      <w:bookmarkEnd w:id="3"/>
      <w:r>
        <w:rPr>
          <w:rFonts w:hint="default" w:ascii="Arial" w:hAnsi="Arial" w:cs="Arial"/>
          <w:b/>
          <w:bCs w:val="0"/>
          <w:iCs/>
          <w:lang w:val="pt-BR" w:eastAsia="pt-BR"/>
        </w:rPr>
        <w:t xml:space="preserve"> ECOCARDIOGRAMA TRANSESOFÁGICO À SEREM REALIZADOS NO LEITO HOSPITALAR, para atender as necessidades do Hospital Municipal Raul Sertã,</w:t>
      </w:r>
      <w:r>
        <w:rPr>
          <w:rFonts w:ascii="Arial" w:hAnsi="Arial" w:cs="Arial"/>
          <w:bCs/>
          <w:iCs/>
        </w:rPr>
        <w:t xml:space="preserve"> nas condições estabelecidas no Termo de Referência – Anexo I do edital.</w:t>
      </w:r>
    </w:p>
    <w:p w14:paraId="148A36BA">
      <w:pPr>
        <w:pStyle w:val="19"/>
        <w:widowControl/>
        <w:numPr>
          <w:ilvl w:val="1"/>
          <w:numId w:val="3"/>
        </w:numPr>
        <w:tabs>
          <w:tab w:val="left" w:pos="426"/>
        </w:tabs>
        <w:autoSpaceDE/>
        <w:autoSpaceDN/>
        <w:spacing w:before="120" w:after="120" w:line="276" w:lineRule="auto"/>
        <w:ind w:left="0" w:firstLine="0"/>
        <w:jc w:val="both"/>
        <w:rPr>
          <w:rFonts w:ascii="Arial" w:hAnsi="Arial" w:cs="Arial"/>
        </w:rPr>
      </w:pPr>
      <w:r>
        <w:rPr>
          <w:rFonts w:ascii="Arial" w:hAnsi="Arial" w:cs="Arial"/>
          <w:iCs/>
        </w:rPr>
        <w:t>Objeto da contratação:</w:t>
      </w: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 w:type="dxa"/>
          <w:bottom w:w="0" w:type="dxa"/>
          <w:right w:w="10" w:type="dxa"/>
        </w:tblCellMar>
      </w:tblPr>
      <w:tblGrid>
        <w:gridCol w:w="903"/>
        <w:gridCol w:w="1126"/>
        <w:gridCol w:w="2468"/>
        <w:gridCol w:w="992"/>
        <w:gridCol w:w="1083"/>
        <w:gridCol w:w="1559"/>
        <w:gridCol w:w="1159"/>
      </w:tblGrid>
      <w:tr w14:paraId="2E892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restart"/>
            <w:shd w:val="clear" w:color="auto" w:fill="D8D8D8"/>
            <w:tcMar>
              <w:top w:w="0" w:type="dxa"/>
              <w:left w:w="108" w:type="dxa"/>
              <w:bottom w:w="0" w:type="dxa"/>
              <w:right w:w="108" w:type="dxa"/>
            </w:tcMar>
            <w:vAlign w:val="center"/>
          </w:tcPr>
          <w:p w14:paraId="257F73F8">
            <w:pPr>
              <w:pStyle w:val="19"/>
              <w:ind w:left="0"/>
              <w:jc w:val="center"/>
              <w:rPr>
                <w:rFonts w:ascii="Arial" w:hAnsi="Arial" w:cs="Arial"/>
                <w:b/>
              </w:rPr>
            </w:pPr>
            <w:r>
              <w:rPr>
                <w:rFonts w:ascii="Arial" w:hAnsi="Arial" w:cs="Arial"/>
                <w:b/>
              </w:rPr>
              <w:t>ITEM</w:t>
            </w:r>
          </w:p>
        </w:tc>
        <w:tc>
          <w:tcPr>
            <w:tcW w:w="606" w:type="pct"/>
            <w:vMerge w:val="restart"/>
            <w:shd w:val="clear" w:color="auto" w:fill="D8D8D8"/>
            <w:vAlign w:val="center"/>
          </w:tcPr>
          <w:p w14:paraId="1F9D1D9E">
            <w:pPr>
              <w:pStyle w:val="19"/>
              <w:ind w:left="0"/>
              <w:jc w:val="center"/>
              <w:rPr>
                <w:rFonts w:ascii="Arial" w:hAnsi="Arial" w:cs="Arial"/>
                <w:b/>
              </w:rPr>
            </w:pPr>
            <w:r>
              <w:rPr>
                <w:rFonts w:ascii="Arial" w:hAnsi="Arial" w:cs="Arial"/>
                <w:b/>
              </w:rPr>
              <w:t>CATSER</w:t>
            </w:r>
          </w:p>
        </w:tc>
        <w:tc>
          <w:tcPr>
            <w:tcW w:w="1328" w:type="pct"/>
            <w:vMerge w:val="restart"/>
            <w:shd w:val="clear" w:color="auto" w:fill="D8D8D8"/>
            <w:tcMar>
              <w:top w:w="0" w:type="dxa"/>
              <w:left w:w="108" w:type="dxa"/>
              <w:bottom w:w="0" w:type="dxa"/>
              <w:right w:w="108" w:type="dxa"/>
            </w:tcMar>
            <w:vAlign w:val="center"/>
          </w:tcPr>
          <w:p w14:paraId="52487A3C">
            <w:pPr>
              <w:pStyle w:val="19"/>
              <w:ind w:left="0"/>
              <w:jc w:val="center"/>
              <w:rPr>
                <w:rFonts w:ascii="Arial" w:hAnsi="Arial" w:cs="Arial"/>
                <w:b/>
              </w:rPr>
            </w:pPr>
            <w:r>
              <w:rPr>
                <w:rFonts w:ascii="Arial" w:hAnsi="Arial" w:cs="Arial"/>
                <w:b/>
              </w:rPr>
              <w:t>ESPECIFICAÇÃO</w:t>
            </w:r>
          </w:p>
        </w:tc>
        <w:tc>
          <w:tcPr>
            <w:tcW w:w="534" w:type="pct"/>
            <w:vMerge w:val="restart"/>
            <w:shd w:val="clear" w:color="auto" w:fill="D8D8D8"/>
            <w:tcMar>
              <w:top w:w="0" w:type="dxa"/>
              <w:left w:w="108" w:type="dxa"/>
              <w:bottom w:w="0" w:type="dxa"/>
              <w:right w:w="108" w:type="dxa"/>
            </w:tcMar>
            <w:vAlign w:val="center"/>
          </w:tcPr>
          <w:p w14:paraId="2E2BC8EA">
            <w:pPr>
              <w:pStyle w:val="19"/>
              <w:ind w:left="0"/>
              <w:jc w:val="center"/>
              <w:rPr>
                <w:rFonts w:ascii="Arial" w:hAnsi="Arial" w:cs="Arial"/>
                <w:b/>
              </w:rPr>
            </w:pPr>
            <w:r>
              <w:rPr>
                <w:rFonts w:ascii="Arial" w:hAnsi="Arial" w:cs="Arial"/>
                <w:b/>
              </w:rPr>
              <w:t>UNID.</w:t>
            </w:r>
          </w:p>
        </w:tc>
        <w:tc>
          <w:tcPr>
            <w:tcW w:w="583" w:type="pct"/>
            <w:vMerge w:val="restart"/>
            <w:shd w:val="clear" w:color="auto" w:fill="D8D8D8"/>
            <w:tcMar>
              <w:top w:w="0" w:type="dxa"/>
              <w:left w:w="108" w:type="dxa"/>
              <w:bottom w:w="0" w:type="dxa"/>
              <w:right w:w="108" w:type="dxa"/>
            </w:tcMar>
            <w:vAlign w:val="center"/>
          </w:tcPr>
          <w:p w14:paraId="75A6B005">
            <w:pPr>
              <w:pStyle w:val="19"/>
              <w:ind w:left="0"/>
              <w:jc w:val="center"/>
              <w:rPr>
                <w:rFonts w:ascii="Arial" w:hAnsi="Arial" w:cs="Arial"/>
                <w:b/>
              </w:rPr>
            </w:pPr>
            <w:r>
              <w:rPr>
                <w:rFonts w:ascii="Arial" w:hAnsi="Arial" w:cs="Arial"/>
                <w:b/>
              </w:rPr>
              <w:t>QTDE.</w:t>
            </w:r>
          </w:p>
        </w:tc>
        <w:tc>
          <w:tcPr>
            <w:tcW w:w="1462" w:type="pct"/>
            <w:gridSpan w:val="2"/>
            <w:shd w:val="clear" w:color="auto" w:fill="D8D8D8"/>
            <w:tcMar>
              <w:top w:w="0" w:type="dxa"/>
              <w:left w:w="108" w:type="dxa"/>
              <w:bottom w:w="0" w:type="dxa"/>
              <w:right w:w="108" w:type="dxa"/>
            </w:tcMar>
            <w:vAlign w:val="center"/>
          </w:tcPr>
          <w:p w14:paraId="30076714">
            <w:pPr>
              <w:pStyle w:val="19"/>
              <w:ind w:left="0"/>
              <w:jc w:val="center"/>
              <w:rPr>
                <w:rFonts w:ascii="Arial" w:hAnsi="Arial" w:cs="Arial"/>
                <w:b/>
              </w:rPr>
            </w:pPr>
            <w:r>
              <w:rPr>
                <w:rFonts w:ascii="Arial" w:hAnsi="Arial" w:cs="Arial"/>
                <w:b/>
              </w:rPr>
              <w:t>VALOR</w:t>
            </w:r>
          </w:p>
        </w:tc>
      </w:tr>
      <w:tr w14:paraId="64453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c>
          <w:tcPr>
            <w:tcW w:w="486" w:type="pct"/>
            <w:vMerge w:val="continue"/>
            <w:shd w:val="clear" w:color="auto" w:fill="D8D8D8"/>
            <w:tcMar>
              <w:top w:w="0" w:type="dxa"/>
              <w:left w:w="108" w:type="dxa"/>
              <w:bottom w:w="0" w:type="dxa"/>
              <w:right w:w="108" w:type="dxa"/>
            </w:tcMar>
            <w:vAlign w:val="center"/>
          </w:tcPr>
          <w:p w14:paraId="49D2C56F">
            <w:pPr>
              <w:rPr>
                <w:rFonts w:ascii="Arial" w:hAnsi="Arial" w:cs="Arial"/>
              </w:rPr>
            </w:pPr>
          </w:p>
        </w:tc>
        <w:tc>
          <w:tcPr>
            <w:tcW w:w="606" w:type="pct"/>
            <w:vMerge w:val="continue"/>
            <w:shd w:val="clear" w:color="auto" w:fill="D8D8D8"/>
          </w:tcPr>
          <w:p w14:paraId="4742AB95">
            <w:pPr>
              <w:rPr>
                <w:rFonts w:ascii="Arial" w:hAnsi="Arial" w:cs="Arial"/>
              </w:rPr>
            </w:pPr>
          </w:p>
        </w:tc>
        <w:tc>
          <w:tcPr>
            <w:tcW w:w="1328" w:type="pct"/>
            <w:vMerge w:val="continue"/>
            <w:shd w:val="clear" w:color="auto" w:fill="D8D8D8"/>
            <w:tcMar>
              <w:top w:w="0" w:type="dxa"/>
              <w:left w:w="108" w:type="dxa"/>
              <w:bottom w:w="0" w:type="dxa"/>
              <w:right w:w="108" w:type="dxa"/>
            </w:tcMar>
            <w:vAlign w:val="center"/>
          </w:tcPr>
          <w:p w14:paraId="78E49B57">
            <w:pPr>
              <w:rPr>
                <w:rFonts w:ascii="Arial" w:hAnsi="Arial" w:cs="Arial"/>
              </w:rPr>
            </w:pPr>
          </w:p>
        </w:tc>
        <w:tc>
          <w:tcPr>
            <w:tcW w:w="534" w:type="pct"/>
            <w:vMerge w:val="continue"/>
            <w:shd w:val="clear" w:color="auto" w:fill="D8D8D8"/>
            <w:tcMar>
              <w:top w:w="0" w:type="dxa"/>
              <w:left w:w="108" w:type="dxa"/>
              <w:bottom w:w="0" w:type="dxa"/>
              <w:right w:w="108" w:type="dxa"/>
            </w:tcMar>
            <w:vAlign w:val="center"/>
          </w:tcPr>
          <w:p w14:paraId="5ABD0A68">
            <w:pPr>
              <w:rPr>
                <w:rFonts w:ascii="Arial" w:hAnsi="Arial" w:cs="Arial"/>
              </w:rPr>
            </w:pPr>
          </w:p>
        </w:tc>
        <w:tc>
          <w:tcPr>
            <w:tcW w:w="583" w:type="pct"/>
            <w:vMerge w:val="continue"/>
            <w:shd w:val="clear" w:color="auto" w:fill="D8D8D8"/>
            <w:tcMar>
              <w:top w:w="0" w:type="dxa"/>
              <w:left w:w="108" w:type="dxa"/>
              <w:bottom w:w="0" w:type="dxa"/>
              <w:right w:w="108" w:type="dxa"/>
            </w:tcMar>
            <w:vAlign w:val="center"/>
          </w:tcPr>
          <w:p w14:paraId="3C53823D">
            <w:pPr>
              <w:rPr>
                <w:rFonts w:ascii="Arial" w:hAnsi="Arial" w:cs="Arial"/>
              </w:rPr>
            </w:pPr>
          </w:p>
        </w:tc>
        <w:tc>
          <w:tcPr>
            <w:tcW w:w="839" w:type="pct"/>
            <w:shd w:val="clear" w:color="auto" w:fill="D8D8D8"/>
            <w:tcMar>
              <w:top w:w="0" w:type="dxa"/>
              <w:left w:w="108" w:type="dxa"/>
              <w:bottom w:w="0" w:type="dxa"/>
              <w:right w:w="108" w:type="dxa"/>
            </w:tcMar>
            <w:vAlign w:val="center"/>
          </w:tcPr>
          <w:p w14:paraId="7ED85C5C">
            <w:pPr>
              <w:pStyle w:val="19"/>
              <w:ind w:left="0"/>
              <w:jc w:val="center"/>
              <w:rPr>
                <w:rFonts w:ascii="Arial" w:hAnsi="Arial" w:cs="Arial"/>
                <w:b/>
              </w:rPr>
            </w:pPr>
            <w:r>
              <w:rPr>
                <w:rFonts w:ascii="Arial" w:hAnsi="Arial" w:cs="Arial"/>
                <w:b/>
              </w:rPr>
              <w:t>UNITÁRIO</w:t>
            </w:r>
          </w:p>
        </w:tc>
        <w:tc>
          <w:tcPr>
            <w:tcW w:w="623" w:type="pct"/>
            <w:shd w:val="clear" w:color="auto" w:fill="D8D8D8"/>
            <w:tcMar>
              <w:top w:w="0" w:type="dxa"/>
              <w:left w:w="108" w:type="dxa"/>
              <w:bottom w:w="0" w:type="dxa"/>
              <w:right w:w="108" w:type="dxa"/>
            </w:tcMar>
            <w:vAlign w:val="center"/>
          </w:tcPr>
          <w:p w14:paraId="19C1CF2A">
            <w:pPr>
              <w:pStyle w:val="19"/>
              <w:ind w:left="0"/>
              <w:jc w:val="center"/>
              <w:rPr>
                <w:rFonts w:ascii="Arial" w:hAnsi="Arial" w:cs="Arial"/>
                <w:b/>
              </w:rPr>
            </w:pPr>
            <w:r>
              <w:rPr>
                <w:rFonts w:ascii="Arial" w:hAnsi="Arial" w:cs="Arial"/>
                <w:b/>
              </w:rPr>
              <w:t>TOTAL</w:t>
            </w:r>
          </w:p>
        </w:tc>
      </w:tr>
      <w:tr w14:paraId="0C5C6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13031D99">
            <w:pPr>
              <w:pStyle w:val="38"/>
              <w:jc w:val="center"/>
              <w:rPr>
                <w:rFonts w:ascii="Arial" w:hAnsi="Arial" w:cs="Arial"/>
                <w:b/>
              </w:rPr>
            </w:pPr>
            <w:r>
              <w:rPr>
                <w:rFonts w:ascii="Arial" w:hAnsi="Arial" w:cs="Arial"/>
                <w:b/>
              </w:rPr>
              <w:t>1</w:t>
            </w:r>
          </w:p>
        </w:tc>
        <w:tc>
          <w:tcPr>
            <w:tcW w:w="606" w:type="pct"/>
          </w:tcPr>
          <w:p w14:paraId="3D67CBCA">
            <w:pPr>
              <w:pStyle w:val="38"/>
              <w:jc w:val="both"/>
              <w:rPr>
                <w:rFonts w:ascii="Arial" w:hAnsi="Arial" w:cs="Arial"/>
              </w:rPr>
            </w:pPr>
          </w:p>
        </w:tc>
        <w:tc>
          <w:tcPr>
            <w:tcW w:w="1328" w:type="pct"/>
            <w:tcMar>
              <w:top w:w="0" w:type="dxa"/>
              <w:left w:w="108" w:type="dxa"/>
              <w:bottom w:w="0" w:type="dxa"/>
              <w:right w:w="108" w:type="dxa"/>
            </w:tcMar>
            <w:vAlign w:val="center"/>
          </w:tcPr>
          <w:p w14:paraId="34A1FDB0">
            <w:pPr>
              <w:pStyle w:val="38"/>
              <w:jc w:val="both"/>
              <w:rPr>
                <w:rFonts w:ascii="Arial" w:hAnsi="Arial" w:cs="Arial"/>
              </w:rPr>
            </w:pPr>
          </w:p>
        </w:tc>
        <w:tc>
          <w:tcPr>
            <w:tcW w:w="534" w:type="pct"/>
            <w:tcMar>
              <w:top w:w="0" w:type="dxa"/>
              <w:left w:w="108" w:type="dxa"/>
              <w:bottom w:w="0" w:type="dxa"/>
              <w:right w:w="108" w:type="dxa"/>
            </w:tcMar>
            <w:vAlign w:val="center"/>
          </w:tcPr>
          <w:p w14:paraId="019B3980">
            <w:pPr>
              <w:pStyle w:val="38"/>
              <w:jc w:val="center"/>
              <w:rPr>
                <w:rFonts w:ascii="Arial" w:hAnsi="Arial" w:cs="Arial"/>
              </w:rPr>
            </w:pPr>
          </w:p>
        </w:tc>
        <w:tc>
          <w:tcPr>
            <w:tcW w:w="583" w:type="pct"/>
            <w:tcMar>
              <w:top w:w="0" w:type="dxa"/>
              <w:left w:w="108" w:type="dxa"/>
              <w:bottom w:w="0" w:type="dxa"/>
              <w:right w:w="108" w:type="dxa"/>
            </w:tcMar>
            <w:vAlign w:val="center"/>
          </w:tcPr>
          <w:p w14:paraId="0410B8E3">
            <w:pPr>
              <w:pStyle w:val="38"/>
              <w:jc w:val="center"/>
              <w:rPr>
                <w:rFonts w:ascii="Arial" w:hAnsi="Arial" w:cs="Arial"/>
                <w:b/>
              </w:rPr>
            </w:pPr>
          </w:p>
        </w:tc>
        <w:tc>
          <w:tcPr>
            <w:tcW w:w="839" w:type="pct"/>
            <w:tcMar>
              <w:top w:w="0" w:type="dxa"/>
              <w:left w:w="108" w:type="dxa"/>
              <w:bottom w:w="0" w:type="dxa"/>
              <w:right w:w="108" w:type="dxa"/>
            </w:tcMar>
            <w:vAlign w:val="center"/>
          </w:tcPr>
          <w:p w14:paraId="3F0080D6">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7D389B9F">
            <w:pPr>
              <w:pStyle w:val="38"/>
              <w:spacing w:after="0" w:line="240" w:lineRule="auto"/>
              <w:jc w:val="right"/>
              <w:rPr>
                <w:rFonts w:ascii="Arial" w:hAnsi="Arial" w:cs="Arial"/>
                <w:b/>
                <w:bCs/>
              </w:rPr>
            </w:pPr>
          </w:p>
        </w:tc>
      </w:tr>
      <w:tr w14:paraId="0055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284" w:hRule="atLeast"/>
        </w:trPr>
        <w:tc>
          <w:tcPr>
            <w:tcW w:w="486" w:type="pct"/>
            <w:tcMar>
              <w:top w:w="0" w:type="dxa"/>
              <w:left w:w="108" w:type="dxa"/>
              <w:bottom w:w="0" w:type="dxa"/>
              <w:right w:w="108" w:type="dxa"/>
            </w:tcMar>
            <w:vAlign w:val="center"/>
          </w:tcPr>
          <w:p w14:paraId="38215CF7">
            <w:pPr>
              <w:pStyle w:val="38"/>
              <w:jc w:val="center"/>
              <w:rPr>
                <w:rFonts w:ascii="Arial" w:hAnsi="Arial" w:cs="Arial"/>
                <w:b/>
              </w:rPr>
            </w:pPr>
            <w:r>
              <w:rPr>
                <w:rFonts w:ascii="Arial" w:hAnsi="Arial" w:cs="Arial"/>
                <w:b/>
              </w:rPr>
              <w:t>…</w:t>
            </w:r>
          </w:p>
        </w:tc>
        <w:tc>
          <w:tcPr>
            <w:tcW w:w="606" w:type="pct"/>
          </w:tcPr>
          <w:p w14:paraId="0BDD05BE">
            <w:pPr>
              <w:pStyle w:val="38"/>
              <w:jc w:val="both"/>
              <w:rPr>
                <w:rFonts w:ascii="Arial" w:hAnsi="Arial" w:cs="Arial"/>
              </w:rPr>
            </w:pPr>
          </w:p>
        </w:tc>
        <w:tc>
          <w:tcPr>
            <w:tcW w:w="1328" w:type="pct"/>
            <w:tcMar>
              <w:top w:w="0" w:type="dxa"/>
              <w:left w:w="108" w:type="dxa"/>
              <w:bottom w:w="0" w:type="dxa"/>
              <w:right w:w="108" w:type="dxa"/>
            </w:tcMar>
            <w:vAlign w:val="center"/>
          </w:tcPr>
          <w:p w14:paraId="52365D6B">
            <w:pPr>
              <w:pStyle w:val="38"/>
              <w:jc w:val="both"/>
              <w:rPr>
                <w:rFonts w:ascii="Arial" w:hAnsi="Arial" w:cs="Arial"/>
              </w:rPr>
            </w:pPr>
          </w:p>
        </w:tc>
        <w:tc>
          <w:tcPr>
            <w:tcW w:w="534" w:type="pct"/>
            <w:tcMar>
              <w:top w:w="0" w:type="dxa"/>
              <w:left w:w="108" w:type="dxa"/>
              <w:bottom w:w="0" w:type="dxa"/>
              <w:right w:w="108" w:type="dxa"/>
            </w:tcMar>
            <w:vAlign w:val="center"/>
          </w:tcPr>
          <w:p w14:paraId="595793E0">
            <w:pPr>
              <w:pStyle w:val="38"/>
              <w:jc w:val="center"/>
              <w:rPr>
                <w:rFonts w:ascii="Arial" w:hAnsi="Arial" w:cs="Arial"/>
              </w:rPr>
            </w:pPr>
          </w:p>
        </w:tc>
        <w:tc>
          <w:tcPr>
            <w:tcW w:w="583" w:type="pct"/>
            <w:tcMar>
              <w:top w:w="0" w:type="dxa"/>
              <w:left w:w="108" w:type="dxa"/>
              <w:bottom w:w="0" w:type="dxa"/>
              <w:right w:w="108" w:type="dxa"/>
            </w:tcMar>
            <w:vAlign w:val="center"/>
          </w:tcPr>
          <w:p w14:paraId="4E823D35">
            <w:pPr>
              <w:pStyle w:val="38"/>
              <w:jc w:val="center"/>
              <w:rPr>
                <w:rFonts w:ascii="Arial" w:hAnsi="Arial" w:cs="Arial"/>
                <w:b/>
              </w:rPr>
            </w:pPr>
          </w:p>
        </w:tc>
        <w:tc>
          <w:tcPr>
            <w:tcW w:w="839" w:type="pct"/>
            <w:tcMar>
              <w:top w:w="0" w:type="dxa"/>
              <w:left w:w="108" w:type="dxa"/>
              <w:bottom w:w="0" w:type="dxa"/>
              <w:right w:w="108" w:type="dxa"/>
            </w:tcMar>
            <w:vAlign w:val="center"/>
          </w:tcPr>
          <w:p w14:paraId="2664FEB2">
            <w:pPr>
              <w:pStyle w:val="38"/>
              <w:spacing w:after="0" w:line="240" w:lineRule="auto"/>
              <w:jc w:val="right"/>
              <w:rPr>
                <w:rFonts w:ascii="Arial" w:hAnsi="Arial" w:cs="Arial"/>
              </w:rPr>
            </w:pPr>
          </w:p>
        </w:tc>
        <w:tc>
          <w:tcPr>
            <w:tcW w:w="623" w:type="pct"/>
            <w:tcMar>
              <w:top w:w="0" w:type="dxa"/>
              <w:left w:w="108" w:type="dxa"/>
              <w:bottom w:w="0" w:type="dxa"/>
              <w:right w:w="108" w:type="dxa"/>
            </w:tcMar>
            <w:vAlign w:val="center"/>
          </w:tcPr>
          <w:p w14:paraId="1B7B9C2E">
            <w:pPr>
              <w:pStyle w:val="38"/>
              <w:spacing w:after="0" w:line="240" w:lineRule="auto"/>
              <w:jc w:val="right"/>
              <w:rPr>
                <w:rFonts w:ascii="Arial" w:hAnsi="Arial" w:cs="Arial"/>
                <w:b/>
                <w:bCs/>
              </w:rPr>
            </w:pPr>
          </w:p>
        </w:tc>
      </w:tr>
    </w:tbl>
    <w:p w14:paraId="59A45222">
      <w:pPr>
        <w:pStyle w:val="19"/>
        <w:widowControl/>
        <w:tabs>
          <w:tab w:val="left" w:pos="426"/>
        </w:tabs>
        <w:autoSpaceDE/>
        <w:autoSpaceDN/>
        <w:spacing w:before="120" w:after="120" w:line="276" w:lineRule="auto"/>
        <w:ind w:left="0"/>
        <w:jc w:val="both"/>
        <w:rPr>
          <w:rFonts w:ascii="Arial" w:hAnsi="Arial" w:cs="Arial"/>
          <w:iCs/>
        </w:rPr>
      </w:pPr>
    </w:p>
    <w:p w14:paraId="41086DDF">
      <w:pPr>
        <w:pStyle w:val="19"/>
        <w:widowControl/>
        <w:numPr>
          <w:ilvl w:val="1"/>
          <w:numId w:val="3"/>
        </w:numPr>
        <w:tabs>
          <w:tab w:val="left" w:pos="426"/>
        </w:tabs>
        <w:autoSpaceDE/>
        <w:autoSpaceDN/>
        <w:spacing w:before="120" w:after="120" w:line="276" w:lineRule="auto"/>
        <w:ind w:left="0" w:firstLine="0"/>
        <w:jc w:val="both"/>
        <w:rPr>
          <w:rFonts w:ascii="Arial" w:hAnsi="Arial" w:cs="Arial"/>
          <w:iCs/>
        </w:rPr>
      </w:pPr>
      <w:r>
        <w:rPr>
          <w:rFonts w:ascii="Arial" w:hAnsi="Arial" w:cs="Arial"/>
          <w:iCs/>
        </w:rPr>
        <w:t>Vinculam esta contratação, independentemente de transcrição:</w:t>
      </w:r>
    </w:p>
    <w:p w14:paraId="76E672DE">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Termo de Referência;</w:t>
      </w:r>
    </w:p>
    <w:p w14:paraId="03B3E8AE">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O Edital da Licitação;</w:t>
      </w:r>
    </w:p>
    <w:p w14:paraId="2CB52295">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A Proposta do contratado;</w:t>
      </w:r>
    </w:p>
    <w:p w14:paraId="4A470922">
      <w:pPr>
        <w:pStyle w:val="19"/>
        <w:widowControl/>
        <w:numPr>
          <w:ilvl w:val="2"/>
          <w:numId w:val="3"/>
        </w:numPr>
        <w:tabs>
          <w:tab w:val="left" w:pos="426"/>
        </w:tabs>
        <w:autoSpaceDE/>
        <w:autoSpaceDN/>
        <w:spacing w:before="120" w:after="120" w:line="276" w:lineRule="auto"/>
        <w:jc w:val="both"/>
        <w:rPr>
          <w:rFonts w:ascii="Arial" w:hAnsi="Arial" w:cs="Arial"/>
          <w:bCs/>
        </w:rPr>
      </w:pPr>
      <w:r>
        <w:rPr>
          <w:rFonts w:ascii="Arial" w:hAnsi="Arial" w:cs="Arial"/>
          <w:bCs/>
        </w:rPr>
        <w:t>Eventuais anexos dos documentos supracitados.</w:t>
      </w:r>
    </w:p>
    <w:p w14:paraId="05227C11">
      <w:pPr>
        <w:pStyle w:val="19"/>
        <w:widowControl/>
        <w:tabs>
          <w:tab w:val="left" w:pos="426"/>
        </w:tabs>
        <w:autoSpaceDE/>
        <w:autoSpaceDN/>
        <w:spacing w:before="120" w:after="120" w:line="276" w:lineRule="auto"/>
        <w:ind w:left="862"/>
        <w:jc w:val="both"/>
        <w:rPr>
          <w:rFonts w:ascii="Arial" w:hAnsi="Arial" w:cs="Arial"/>
          <w:bCs/>
        </w:rPr>
      </w:pPr>
    </w:p>
    <w:p w14:paraId="7D593EF1">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SEGUNDA – VIGÊNCIA E PRORROGAÇÃO</w:t>
      </w:r>
    </w:p>
    <w:p w14:paraId="0D6C5B1B">
      <w:pPr>
        <w:pStyle w:val="19"/>
        <w:widowControl/>
        <w:numPr>
          <w:ilvl w:val="1"/>
          <w:numId w:val="3"/>
        </w:numPr>
        <w:tabs>
          <w:tab w:val="left" w:pos="426"/>
        </w:tabs>
        <w:autoSpaceDE/>
        <w:autoSpaceDN/>
        <w:spacing w:before="120" w:after="120" w:line="276" w:lineRule="auto"/>
        <w:ind w:left="0" w:firstLine="0"/>
        <w:jc w:val="both"/>
        <w:rPr>
          <w:rFonts w:ascii="Arial" w:hAnsi="Arial" w:cs="Arial"/>
          <w:bCs/>
          <w:i w:val="0"/>
          <w:iCs/>
          <w:color w:val="auto"/>
        </w:rPr>
      </w:pPr>
      <w:r>
        <w:rPr>
          <w:rFonts w:ascii="Arial" w:hAnsi="Arial" w:cs="Arial"/>
          <w:bCs/>
          <w:i w:val="0"/>
          <w:iCs/>
          <w:color w:val="auto"/>
        </w:rPr>
        <w:t xml:space="preserve">O prazo de vigência da contratação é de .............................. contados do(a) ............................., prorrogável por até 10 anos, na forma dos </w:t>
      </w:r>
      <w:r>
        <w:rPr>
          <w:i w:val="0"/>
          <w:iCs/>
          <w:color w:val="auto"/>
        </w:rPr>
        <w:fldChar w:fldCharType="begin"/>
      </w:r>
      <w:r>
        <w:rPr>
          <w:i w:val="0"/>
          <w:iCs/>
          <w:color w:val="auto"/>
        </w:rPr>
        <w:instrText xml:space="preserve"> HYPERLINK "http://www.planalto.gov.br/ccivil_03/_ato2019-2022/2021/lei/L14133.htm" \l "art106" </w:instrText>
      </w:r>
      <w:r>
        <w:rPr>
          <w:i w:val="0"/>
          <w:iCs/>
          <w:color w:val="auto"/>
        </w:rPr>
        <w:fldChar w:fldCharType="separate"/>
      </w:r>
      <w:r>
        <w:rPr>
          <w:rFonts w:ascii="Arial" w:hAnsi="Arial" w:cs="Arial"/>
          <w:bCs/>
          <w:i w:val="0"/>
          <w:iCs/>
          <w:color w:val="auto"/>
        </w:rPr>
        <w:t>artigos 106 e 107 da Lei n° 14.133, de 2021</w:t>
      </w:r>
      <w:r>
        <w:rPr>
          <w:rFonts w:ascii="Arial" w:hAnsi="Arial" w:cs="Arial"/>
          <w:bCs/>
          <w:i w:val="0"/>
          <w:iCs/>
          <w:color w:val="auto"/>
        </w:rPr>
        <w:fldChar w:fldCharType="end"/>
      </w:r>
      <w:r>
        <w:rPr>
          <w:rFonts w:ascii="Arial" w:hAnsi="Arial" w:cs="Arial"/>
          <w:bCs/>
          <w:i w:val="0"/>
          <w:iCs/>
          <w:color w:val="auto"/>
        </w:rPr>
        <w:t xml:space="preserve">. </w:t>
      </w:r>
    </w:p>
    <w:p w14:paraId="648330FC">
      <w:pPr>
        <w:pStyle w:val="19"/>
        <w:widowControl/>
        <w:numPr>
          <w:ilvl w:val="1"/>
          <w:numId w:val="3"/>
        </w:numPr>
        <w:tabs>
          <w:tab w:val="left" w:pos="426"/>
        </w:tabs>
        <w:autoSpaceDE/>
        <w:autoSpaceDN/>
        <w:spacing w:before="120" w:after="120" w:line="276" w:lineRule="auto"/>
        <w:ind w:left="0" w:firstLine="0"/>
        <w:jc w:val="both"/>
        <w:rPr>
          <w:rFonts w:ascii="Arial" w:hAnsi="Arial" w:cs="Arial"/>
          <w:bCs/>
          <w:i w:val="0"/>
          <w:iCs/>
          <w:color w:val="auto"/>
        </w:rPr>
      </w:pPr>
      <w:r>
        <w:rPr>
          <w:rFonts w:ascii="Arial" w:hAnsi="Arial" w:cs="Arial"/>
          <w:bCs/>
          <w:i w:val="0"/>
          <w:iCs/>
          <w:color w:val="auto"/>
        </w:rPr>
        <w:t>A prorrogação de que trata este item é condicionada ao ateste, pela autoridade competente, de que as condições e os preços permanecem vantajosos para a Administração, permitida a negociação com o contratado, atentando, ainda, para o cumprimento dos seguintes requisitos:</w:t>
      </w:r>
    </w:p>
    <w:p w14:paraId="0A66FE5D">
      <w:pPr>
        <w:pStyle w:val="19"/>
        <w:widowControl/>
        <w:numPr>
          <w:ilvl w:val="2"/>
          <w:numId w:val="3"/>
        </w:numPr>
        <w:tabs>
          <w:tab w:val="left" w:pos="426"/>
        </w:tabs>
        <w:autoSpaceDE/>
        <w:autoSpaceDN/>
        <w:spacing w:before="120" w:after="120" w:line="276" w:lineRule="auto"/>
        <w:jc w:val="both"/>
        <w:rPr>
          <w:rFonts w:ascii="Arial" w:hAnsi="Arial" w:cs="Arial"/>
          <w:bCs/>
          <w:i w:val="0"/>
          <w:iCs/>
          <w:color w:val="auto"/>
        </w:rPr>
      </w:pPr>
      <w:r>
        <w:rPr>
          <w:rFonts w:ascii="Arial" w:hAnsi="Arial" w:cs="Arial"/>
          <w:bCs/>
          <w:i w:val="0"/>
          <w:iCs/>
          <w:color w:val="auto"/>
        </w:rPr>
        <w:t>Estar formalmente demonstrado no processo que a forma de prestação dos serviços tem natureza continuada;</w:t>
      </w:r>
    </w:p>
    <w:p w14:paraId="7EA829E9">
      <w:pPr>
        <w:pStyle w:val="19"/>
        <w:widowControl/>
        <w:numPr>
          <w:ilvl w:val="2"/>
          <w:numId w:val="3"/>
        </w:numPr>
        <w:tabs>
          <w:tab w:val="left" w:pos="426"/>
        </w:tabs>
        <w:autoSpaceDE/>
        <w:autoSpaceDN/>
        <w:spacing w:before="120" w:after="120" w:line="276" w:lineRule="auto"/>
        <w:jc w:val="both"/>
        <w:rPr>
          <w:rFonts w:ascii="Arial" w:hAnsi="Arial" w:cs="Arial"/>
          <w:bCs/>
          <w:i w:val="0"/>
          <w:iCs/>
          <w:color w:val="auto"/>
        </w:rPr>
      </w:pPr>
      <w:r>
        <w:rPr>
          <w:rFonts w:ascii="Arial" w:hAnsi="Arial" w:cs="Arial"/>
          <w:bCs/>
          <w:i w:val="0"/>
          <w:iCs/>
          <w:color w:val="auto"/>
        </w:rPr>
        <w:t xml:space="preserve">Seja juntado relatório que discorra sobre a execução do contrato, com informações de que os serviços tenham sido prestados regularmente;  </w:t>
      </w:r>
    </w:p>
    <w:p w14:paraId="11FC5757">
      <w:pPr>
        <w:pStyle w:val="19"/>
        <w:widowControl/>
        <w:numPr>
          <w:ilvl w:val="2"/>
          <w:numId w:val="3"/>
        </w:numPr>
        <w:tabs>
          <w:tab w:val="left" w:pos="426"/>
        </w:tabs>
        <w:autoSpaceDE/>
        <w:autoSpaceDN/>
        <w:spacing w:before="120" w:after="120" w:line="276" w:lineRule="auto"/>
        <w:jc w:val="both"/>
        <w:rPr>
          <w:rFonts w:ascii="Arial" w:hAnsi="Arial" w:cs="Arial"/>
          <w:bCs/>
          <w:i w:val="0"/>
          <w:iCs/>
          <w:color w:val="auto"/>
        </w:rPr>
      </w:pPr>
      <w:r>
        <w:rPr>
          <w:rFonts w:ascii="Arial" w:hAnsi="Arial" w:cs="Arial"/>
          <w:bCs/>
          <w:i w:val="0"/>
          <w:iCs/>
          <w:color w:val="auto"/>
        </w:rPr>
        <w:t xml:space="preserve">Seja juntada justificativa e motivo, por escrito, de que a Administração mantém interesse na realização do serviço;  </w:t>
      </w:r>
    </w:p>
    <w:p w14:paraId="4B2A5239">
      <w:pPr>
        <w:pStyle w:val="19"/>
        <w:widowControl/>
        <w:numPr>
          <w:ilvl w:val="2"/>
          <w:numId w:val="3"/>
        </w:numPr>
        <w:tabs>
          <w:tab w:val="left" w:pos="426"/>
        </w:tabs>
        <w:autoSpaceDE/>
        <w:autoSpaceDN/>
        <w:spacing w:before="120" w:after="120" w:line="276" w:lineRule="auto"/>
        <w:jc w:val="both"/>
        <w:rPr>
          <w:rFonts w:ascii="Arial" w:hAnsi="Arial" w:cs="Arial"/>
          <w:bCs/>
          <w:i w:val="0"/>
          <w:iCs/>
          <w:color w:val="auto"/>
        </w:rPr>
      </w:pPr>
      <w:r>
        <w:rPr>
          <w:rFonts w:ascii="Arial" w:hAnsi="Arial" w:cs="Arial"/>
          <w:bCs/>
          <w:i w:val="0"/>
          <w:iCs/>
          <w:color w:val="auto"/>
        </w:rPr>
        <w:t xml:space="preserve">Haja manifestação expressa do contratado informando o interesse na prorrogação; </w:t>
      </w:r>
    </w:p>
    <w:p w14:paraId="6D10AB18">
      <w:pPr>
        <w:pStyle w:val="19"/>
        <w:widowControl/>
        <w:numPr>
          <w:ilvl w:val="2"/>
          <w:numId w:val="3"/>
        </w:numPr>
        <w:tabs>
          <w:tab w:val="left" w:pos="426"/>
        </w:tabs>
        <w:autoSpaceDE/>
        <w:autoSpaceDN/>
        <w:spacing w:before="120" w:after="120" w:line="276" w:lineRule="auto"/>
        <w:jc w:val="both"/>
        <w:rPr>
          <w:rFonts w:ascii="Arial" w:hAnsi="Arial" w:cs="Arial"/>
          <w:bCs/>
          <w:i w:val="0"/>
          <w:iCs/>
          <w:color w:val="auto"/>
        </w:rPr>
      </w:pPr>
      <w:r>
        <w:rPr>
          <w:rFonts w:ascii="Arial" w:hAnsi="Arial" w:cs="Arial"/>
          <w:bCs/>
          <w:i w:val="0"/>
          <w:iCs/>
          <w:color w:val="auto"/>
        </w:rPr>
        <w:t>Seja comprovado que o contratado mantém as condições iniciais de habilitação.</w:t>
      </w:r>
    </w:p>
    <w:p w14:paraId="697B0E7C">
      <w:pPr>
        <w:pStyle w:val="19"/>
        <w:widowControl/>
        <w:numPr>
          <w:ilvl w:val="1"/>
          <w:numId w:val="3"/>
        </w:numPr>
        <w:tabs>
          <w:tab w:val="left" w:pos="426"/>
        </w:tabs>
        <w:autoSpaceDE/>
        <w:autoSpaceDN/>
        <w:spacing w:before="120" w:after="120" w:line="276" w:lineRule="auto"/>
        <w:ind w:left="0" w:firstLine="0"/>
        <w:jc w:val="both"/>
        <w:rPr>
          <w:rFonts w:ascii="Arial" w:hAnsi="Arial" w:cs="Arial"/>
          <w:bCs/>
          <w:i w:val="0"/>
          <w:iCs/>
          <w:color w:val="auto"/>
        </w:rPr>
      </w:pPr>
      <w:r>
        <w:rPr>
          <w:rFonts w:ascii="Arial" w:hAnsi="Arial" w:cs="Arial"/>
          <w:bCs/>
          <w:i w:val="0"/>
          <w:iCs/>
          <w:color w:val="auto"/>
        </w:rPr>
        <w:t>O contratado não tem direito subjetivo à prorrogação contratual.</w:t>
      </w:r>
    </w:p>
    <w:p w14:paraId="5E00CA84">
      <w:pPr>
        <w:pStyle w:val="19"/>
        <w:widowControl/>
        <w:numPr>
          <w:ilvl w:val="1"/>
          <w:numId w:val="3"/>
        </w:numPr>
        <w:tabs>
          <w:tab w:val="left" w:pos="426"/>
        </w:tabs>
        <w:autoSpaceDE/>
        <w:autoSpaceDN/>
        <w:spacing w:before="120" w:after="120" w:line="276" w:lineRule="auto"/>
        <w:ind w:left="0" w:firstLine="0"/>
        <w:jc w:val="both"/>
        <w:rPr>
          <w:rFonts w:ascii="Arial" w:hAnsi="Arial" w:cs="Arial"/>
          <w:bCs/>
          <w:i w:val="0"/>
          <w:iCs/>
          <w:color w:val="auto"/>
        </w:rPr>
      </w:pPr>
      <w:r>
        <w:rPr>
          <w:rFonts w:ascii="Arial" w:hAnsi="Arial" w:cs="Arial"/>
          <w:bCs/>
          <w:i w:val="0"/>
          <w:iCs/>
          <w:color w:val="auto"/>
        </w:rPr>
        <w:t>A prorrogação de contrato deverá ser promovida mediante celebração de termo aditivo.</w:t>
      </w:r>
    </w:p>
    <w:p w14:paraId="740D30A3">
      <w:pPr>
        <w:pStyle w:val="50"/>
        <w:numPr>
          <w:ilvl w:val="1"/>
          <w:numId w:val="3"/>
        </w:numPr>
        <w:rPr>
          <w:rFonts w:eastAsia="Verdana"/>
          <w:bCs/>
          <w:i w:val="0"/>
          <w:iCs/>
          <w:color w:val="auto"/>
          <w:sz w:val="22"/>
          <w:szCs w:val="22"/>
          <w:lang w:val="pt-PT" w:eastAsia="en-US"/>
        </w:rPr>
      </w:pPr>
      <w:r>
        <w:rPr>
          <w:rFonts w:eastAsia="Verdana"/>
          <w:bCs/>
          <w:i w:val="0"/>
          <w:iCs/>
          <w:color w:val="auto"/>
          <w:sz w:val="22"/>
          <w:szCs w:val="22"/>
          <w:lang w:val="pt-PT" w:eastAsia="en-US"/>
        </w:rPr>
        <w:t>Nas eventuais prorrogações contratuais, os custos não renováveis já pagos ou amortizados ao longo do primeiro período de vigência da contratação deverão ser reduzidos ou eliminados como condição para a renovação.</w:t>
      </w:r>
    </w:p>
    <w:p w14:paraId="34810A75">
      <w:pPr>
        <w:pStyle w:val="19"/>
        <w:widowControl/>
        <w:numPr>
          <w:ilvl w:val="1"/>
          <w:numId w:val="3"/>
        </w:numPr>
        <w:tabs>
          <w:tab w:val="left" w:pos="426"/>
        </w:tabs>
        <w:autoSpaceDE/>
        <w:autoSpaceDN/>
        <w:spacing w:before="120" w:after="120" w:line="276" w:lineRule="auto"/>
        <w:ind w:left="0" w:firstLine="0"/>
        <w:jc w:val="both"/>
        <w:rPr>
          <w:rFonts w:ascii="Arial" w:hAnsi="Arial" w:cs="Arial"/>
          <w:bCs/>
          <w:i w:val="0"/>
          <w:iCs/>
          <w:color w:val="auto"/>
        </w:rPr>
      </w:pPr>
      <w:r>
        <w:rPr>
          <w:rFonts w:ascii="Arial" w:hAnsi="Arial" w:cs="Arial"/>
          <w:bCs/>
          <w:i w:val="0"/>
          <w:iCs/>
          <w:color w:val="auto"/>
        </w:rPr>
        <w:t>O contrato não poderá ser prorrogado quando o contratado tiver sido penalizado nas sanções de declaração de inidoneidade ou impedimento de licitar e contratar com poder público, observadas as abrangências de aplicação.</w:t>
      </w:r>
    </w:p>
    <w:p w14:paraId="4EC14F21">
      <w:pPr>
        <w:pStyle w:val="19"/>
        <w:widowControl/>
        <w:tabs>
          <w:tab w:val="left" w:pos="426"/>
        </w:tabs>
        <w:autoSpaceDE/>
        <w:autoSpaceDN/>
        <w:spacing w:before="120" w:after="120" w:line="276" w:lineRule="auto"/>
        <w:ind w:left="0"/>
        <w:jc w:val="both"/>
        <w:rPr>
          <w:rFonts w:ascii="Arial" w:hAnsi="Arial" w:cs="Arial"/>
          <w:bCs/>
          <w:iCs/>
          <w:color w:val="FF0000"/>
        </w:rPr>
      </w:pPr>
    </w:p>
    <w:p w14:paraId="013C4212">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TERCEIRA – MODELOS DE EXECUÇÃO E GESTÃO CONTRATUAIS (art. 92, IV, VII e XVIII)</w:t>
      </w:r>
    </w:p>
    <w:p w14:paraId="551EE061">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 </w:t>
      </w:r>
      <w:r>
        <w:rPr>
          <w:rFonts w:hint="default" w:ascii="Arial" w:hAnsi="Arial" w:cs="Arial"/>
          <w:bCs/>
          <w:iCs/>
          <w:u w:val="single"/>
          <w:lang w:val="pt-BR"/>
        </w:rPr>
        <w:t>DA EXECUÇÃO DOS SERVIÇOS</w:t>
      </w:r>
    </w:p>
    <w:p w14:paraId="3AD9B999">
      <w:pPr>
        <w:pStyle w:val="19"/>
        <w:widowControl/>
        <w:tabs>
          <w:tab w:val="left" w:pos="426"/>
        </w:tabs>
        <w:autoSpaceDE/>
        <w:autoSpaceDN/>
        <w:spacing w:before="120" w:after="120" w:line="276" w:lineRule="auto"/>
        <w:ind w:left="0"/>
        <w:jc w:val="both"/>
        <w:rPr>
          <w:rFonts w:hint="default" w:ascii="Arial" w:hAnsi="Arial" w:cs="Arial"/>
          <w:bCs/>
          <w:iCs/>
          <w:lang w:val="pt-BR"/>
        </w:rPr>
      </w:pPr>
    </w:p>
    <w:p w14:paraId="0D498949">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 Os serviços serão prestados pelo período de 1 (um) ano, atendendo ao quantitativo definido no Termo de Referência, podendo ser prorrogado por igual período até o limite máximo de 10 (dez) anos, conforme dispõe o art. 107 da lei nº 14133/21.</w:t>
      </w:r>
    </w:p>
    <w:p w14:paraId="54480169">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3.1.2.</w:t>
      </w:r>
      <w:r>
        <w:rPr>
          <w:rFonts w:hint="default" w:ascii="Arial" w:hAnsi="Arial" w:cs="Arial"/>
          <w:b/>
          <w:bCs w:val="0"/>
          <w:i w:val="0"/>
          <w:iCs/>
          <w:u w:val="single"/>
          <w:lang w:val="pt-BR"/>
        </w:rPr>
        <w:t>É de responsabilidade da CONTRATADA a disponibilização de todos os equipamentos necessários à plena execução dos serviços, bem como é de sua inteira responsabilidade o transporte e a manutenção destes, quando necessário, sem quaisquer ônus à CONTRATANTE.</w:t>
      </w:r>
    </w:p>
    <w:p w14:paraId="62B5AD79">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3.1.3. A execução dos serviços deverá ser iniciada em até 10 (dez) dias após o recebimento da Nota de Empenho e/ou da publicação do extrato de Instrumento Contratual no Diário Oficial, respeitando a solicitação da Direção da Unidade Hospitalar.</w:t>
      </w:r>
    </w:p>
    <w:p w14:paraId="197BB515">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3.1.4. Os serviços serão executados diretamente no leito hospitalar, em pacientes internados na Unidade de Saúde, considerando a impossibilidade de remoção do assistido.</w:t>
      </w:r>
    </w:p>
    <w:p w14:paraId="76EB5B31">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3.1.5. A CONTRATADA deverá sempre atender a solicitação da CONTRATANTE quanto a necessidade da realização do exame.</w:t>
      </w:r>
    </w:p>
    <w:p w14:paraId="4B002DB2">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3.1.6. A Contratada deverá ter capacidade de atendimento da demanda com eficiência, presteza e zelo.</w:t>
      </w:r>
    </w:p>
    <w:p w14:paraId="7A56AAEC">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3.1.7. </w:t>
      </w:r>
      <w:r>
        <w:rPr>
          <w:rFonts w:hint="default" w:ascii="Arial" w:hAnsi="Arial" w:cs="Arial"/>
          <w:b/>
          <w:bCs w:val="0"/>
          <w:iCs/>
          <w:u w:val="single"/>
          <w:lang w:val="pt-BR"/>
        </w:rPr>
        <w:t>Após a realização do procedimento, a Contratada deverá emitir e entregar o laudo do exame à Unidade de Saúde no prazo de até 48h (quarenta e oito horas). Nos casos clínicos mais graves, por solicitação do médico responsável ou da Direção da Unidade Hospitalar, o prazo de entrega deverá ser reduzido para até 24h (vinte e quatro horas).</w:t>
      </w:r>
    </w:p>
    <w:p w14:paraId="1FC9BAC8">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3.1.8. Os laudos deverão ser assinados por Responsável Técnico competente para tal, e devidamente reconhecido pelo CRM ou CFM. Os laudos deverão ser detalhados e com o descritivo que o serviço é custeado pelo Município de Nova Friburgo.</w:t>
      </w:r>
    </w:p>
    <w:p w14:paraId="492B1DB1">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3.1.9. A Contratada deverá dispor de sistema para envio dos laudos em meio físico e eletrônico.</w:t>
      </w:r>
    </w:p>
    <w:p w14:paraId="181BB984">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3.1.10. Exames com patologias deverão possuir quantificação e mensuração. Os laudos que não forem satisfatórios ao profissional solicitante deverão ser repetidos pela Contratada, sem custos ao Município.</w:t>
      </w:r>
    </w:p>
    <w:p w14:paraId="043B7A06">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3.1.11. A aceitação provisório ou definitiva dos serviços não exclui a responsabilidade da Contratada pelos prejuízos resultantes da incorreta execução da obrigação.</w:t>
      </w:r>
    </w:p>
    <w:p w14:paraId="06E43CDC">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3.1.12. Os serviços poderão ser rejeitados, no todo ou em parte, quando em desacordo com as especificações constantes no Termo de Referência e na proposta, devendo ser corrigidos/refeitos no prazo fixado pelo fiscal do contrato, às custas da Contratada, sem prejuízo da aplicação de penalidades.</w:t>
      </w:r>
    </w:p>
    <w:p w14:paraId="0313A3CB">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3.1.13. A Contratada terá o prazo máximo de 30 (trinta) dias, a partir da data de realização do exame, para enviar o banco de dados de produção à Direção da Unidade Requisitante.</w:t>
      </w:r>
    </w:p>
    <w:p w14:paraId="425BEECB">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3.1.14. A Contratada deverá responsabilizar-se pelo arquivamento das informações relativas à realização dos serviços contratados (requisições e laudos) em seu estabelecimento, assim como a aquisição e fornecimento de todos os insumos necessários.</w:t>
      </w:r>
    </w:p>
    <w:p w14:paraId="5A7054AC">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3.1.15. Não poderá haver qualquer distinção entre o atendimento realizado aos pacientes do Sistema Único de Saúde – SUS, dos demais pacientes atendidos pela contratada.</w:t>
      </w:r>
    </w:p>
    <w:p w14:paraId="4AC7CE9A">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3.1.16. A contratada responderá exclusiva e integralmente pela utilização de pessoal para execução do objeto contratado, incluídos os encargos trabalhistas, previdenciários, sociais, fiscais e comerciais resultantes de vínculo empregatício, ou comercial, cujo ônus e obrigações em nenhuma hipótese poderão ser transferidos para a Secretaria Municipal de Saúde de Nova Friburgo.</w:t>
      </w:r>
    </w:p>
    <w:p w14:paraId="1E1F814D">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3.1.17. Caberá a CONTRATADA a contratação de recursos humanos próprios (profissionais médicos e de enfermagem) conforme o nível de complexidade e critérios para composição de quadro mínimo de profissionais necessários para a execução dos procedimentos, inclusive para desinfecção/esterilização dos materiais, durante toda a vigência do contrato, não sendo permitida a inexecução do objeto por falta de recursos humanos.</w:t>
      </w:r>
    </w:p>
    <w:p w14:paraId="595E8719">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3.1.18. A execução dos atendimentos deverá ser realizada por meio de profissionais capacitados responsabilizando-se por quaisquer danos causados pelos mesmos aos pacientes, decorrentes de omissão, negligência, imperícia ou imprudência.</w:t>
      </w:r>
    </w:p>
    <w:p w14:paraId="35E44252">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3.1.19. A contratada manter –se – a, durante toda a execução do contrato, em compatibilidade com as condições exigidas nesse instrumento.</w:t>
      </w:r>
    </w:p>
    <w:p w14:paraId="0A4FF396">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3.1.20. A produção dos serviços prestados pela contratada deverá ser registrada e apresentada, até o 5º dia útil, mensalmente para a conferência pelo setor responsável.</w:t>
      </w:r>
    </w:p>
    <w:p w14:paraId="2E81026F">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3.1.21. Para fins de conferência a contratada deverá apresentar as solicitações médicas devidamente autorizadas pelo Hospital Municipal Raul Sertã bem como apresentar em anexo cópia do laudo do procedimento realizado devidamente assinado.</w:t>
      </w:r>
    </w:p>
    <w:p w14:paraId="2406704B">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3.1.22.  A Contratada deverá encaminhar as requisições, laudos e relatórios mensais (em meio digital e papel), contendo nome do paciente, senha de autorização, número do documento de identificação, data da realização dos exames e assinatura do paciente ou responsável.</w:t>
      </w:r>
    </w:p>
    <w:p w14:paraId="2A1F3B2D">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3.1.23. O Hospital Municipal Raul Sertã realizará o acompanhamento da produção, bem como dos valores relativos aos procedimentos a serem faturados.</w:t>
      </w:r>
    </w:p>
    <w:p w14:paraId="5AABD5A2">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3.1.24. A eventual cobrança de qualquer valor excedente dos pacientes ou seus responsáveis acarretará a imediata rescisão do contrato e sujeito à declaração de inidoneidade e responsabilização cível e criminal.</w:t>
      </w:r>
    </w:p>
    <w:p w14:paraId="268A82C4">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 xml:space="preserve">3.2 </w:t>
      </w:r>
      <w:r>
        <w:rPr>
          <w:rFonts w:hint="default" w:ascii="Arial" w:hAnsi="Arial" w:cs="Arial"/>
          <w:bCs/>
          <w:iCs/>
          <w:u w:val="single"/>
          <w:lang w:val="pt-BR"/>
        </w:rPr>
        <w:t>DA GESTÃO DO CONTRATO</w:t>
      </w:r>
    </w:p>
    <w:p w14:paraId="5FE750C6">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 O contrato deverá ser executado fielmente pelas partes, de acordo com as cláusulas avençadas e as normas da Lei nº 14.133, de 2021, e cada parte responderá pelas consequências de sua inexecução total ou parcial (Lei nº 14.133/2021, art. 115, caput).</w:t>
      </w:r>
    </w:p>
    <w:p w14:paraId="2534D186">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3.2.2. Em caso de impedimento, ordem de paralisação ou suspensão do contrato, o cronograma de execução será prorrogado automaticamente pelo tempo correspondente, anotadas tais circunstâncias mediante simples apostila (Lei nº 14.133/2021, art. 115, §5º).</w:t>
      </w:r>
    </w:p>
    <w:p w14:paraId="6494A958">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 A execução do contrato deverá ser acompanhada e fiscalizada pelo(s) fiscal(is) do contrato, ou pelos respectivos substitutos (Lei nº 14.133/2021, art. 117, caput).</w:t>
      </w:r>
    </w:p>
    <w:p w14:paraId="01D83994">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3.2.3.1 O fiscal do contrato anotará em registro próprio todas as ocorrências relacionadas à execução do contrato, determinando o que for necessário para a regularização das faltas ou dos defeitos observados (Lei nº 14.133/2021, art. 117, §1º).</w:t>
      </w:r>
    </w:p>
    <w:p w14:paraId="64AF3997">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3.2.3.2. O fiscal do contrato informará a seus superiores, em tempo hábil para a adoção das medidas convenientes, a situação que demandar decisão ou providência que ultrapasse sua competência (Lei nº 14.133/2021, art. 117, §2º).</w:t>
      </w:r>
    </w:p>
    <w:p w14:paraId="6DEE60DA">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3.2.3.3. O contratado será obrigado a reparar, corrigir, remover, reconstruir ou substituir, a suas expensas, no total ou em parte, o objeto do contrato em que se verificarem vícios, defeitos ou incorreções resultantes de sua execução ou de materiais nela empregados (Lei nº 14.133/2021, art. 119).</w:t>
      </w:r>
    </w:p>
    <w:p w14:paraId="78B3F419">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3.2.4. O contratado será responsável pelos danos causados diretamente à Administração ou a terceiros em razão da execução do contrato, e não excluirá nem reduzirá essa responsabilidade a fiscalização ou o acompanhamento pelo contratante (Lei nº 14.133/2021, art. 120).</w:t>
      </w:r>
    </w:p>
    <w:p w14:paraId="15B43D33">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3.2.5. Somente o contratado será responsável pelos encargos trabalhistas, previdenciários, fiscais e comerciais resultantes da execução do contrato (Lei nº 14.133/2021, art. 121, caput).</w:t>
      </w:r>
    </w:p>
    <w:p w14:paraId="27879AD8">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3.2.6. A inadimplência do contratado em relação aos encargos trabalhistas, fiscais e comerciais não transferirá à Administração a responsabilidade pelo seu pagamento e não poderá onerar o objeto do contrato (Lei nº 14.133/2021, art. 121, §1º).</w:t>
      </w:r>
    </w:p>
    <w:p w14:paraId="7C498E19">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3.2.7. As comunicações entre o órgão ou entidade e a contratada devem ser realizadas por escrito sempre que o ato exigir tal formalidade, admitindo-se, excepcionalmente, o uso de mensagem eletrônica para esse fim.</w:t>
      </w:r>
    </w:p>
    <w:p w14:paraId="6A5185E4">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3.2.8. O órgão ou entidade poderá convocar representante da empresa para adoção de providências que devam ser cumpridas de imediato.</w:t>
      </w:r>
    </w:p>
    <w:p w14:paraId="1D620897">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3.2.9. Serão exigidos a Certidão Negativa de Débito (CND) relativa a Créditos Tributários Federais e à Dívida Ativa da União, o Certificado de Regularidade do FGTS (CRF) e a Certidão Negativa de Débitos Trabalhistas (CNDT), caso esses documentos não estejam regularizados no SICAF.</w:t>
      </w:r>
    </w:p>
    <w:p w14:paraId="2872110A">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w:t>
      </w:r>
      <w:r>
        <w:rPr>
          <w:rFonts w:hint="default" w:ascii="Arial" w:hAnsi="Arial" w:cs="Arial"/>
          <w:bCs/>
          <w:iCs/>
          <w:lang w:val="pt-BR" w:eastAsia="en-US"/>
        </w:rPr>
        <w:t>.10. O acompanhamento, a gestão e a fiscalização da contratação serão exercidos por representantes da Contratante, aos quais competirá dirimir as dúvidas que surgirem no curso da execução do contrato, e de tudo dar ciência à Administração, na forma do disposto no capítulo VI do título III da Lei Federal nº14.133/21.</w:t>
      </w:r>
    </w:p>
    <w:p w14:paraId="4E244DD9">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w:t>
      </w:r>
      <w:r>
        <w:rPr>
          <w:rFonts w:hint="default" w:ascii="Arial" w:hAnsi="Arial" w:cs="Arial"/>
          <w:bCs/>
          <w:iCs/>
          <w:lang w:val="pt-BR" w:eastAsia="en-US"/>
        </w:rPr>
        <w:t>.11. Para o acompanhamento, gestão e fiscalização da execução do presente contrato, serão designados em momento posterior, antes da execução do objeto, agentes públicos gestor/gestor substituto e fiscal/ fiscal substituto.</w:t>
      </w:r>
    </w:p>
    <w:p w14:paraId="41FAD866">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3.2.12. O(s) fiscal(is) do contrato anotará em registro próprio todas as ocorrências relacionadas com a execução do contrato, indicando dia, mês e ano, determinando o que for necessário à regularização das faltas observadas e encaminhando os apontamentos à autoridade competente para as providências cabíveis;</w:t>
      </w:r>
    </w:p>
    <w:p w14:paraId="0DA66F21">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3.2.13. O(s) fiscal(is) designado pela Contratante deverá ter a experiência necessária para o acompanhamento e controle da execução dos serviços e do contrato;</w:t>
      </w:r>
    </w:p>
    <w:p w14:paraId="69997288">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3.2.14. A verificação da adequação da prestação do serviço deverá ser realizada com base nos critérios previstos no Termo de Referência;</w:t>
      </w:r>
    </w:p>
    <w:p w14:paraId="6126B622">
      <w:pPr>
        <w:pStyle w:val="19"/>
        <w:widowControl/>
        <w:tabs>
          <w:tab w:val="left" w:pos="426"/>
        </w:tabs>
        <w:autoSpaceDE/>
        <w:autoSpaceDN/>
        <w:spacing w:before="120" w:after="120" w:line="276" w:lineRule="auto"/>
        <w:ind w:left="0"/>
        <w:jc w:val="both"/>
        <w:rPr>
          <w:rFonts w:hint="default" w:ascii="Arial" w:hAnsi="Arial" w:cs="Arial"/>
          <w:bCs/>
          <w:iCs/>
          <w:lang w:val="pt-BR"/>
        </w:rPr>
      </w:pPr>
      <w:r>
        <w:rPr>
          <w:rFonts w:hint="default" w:ascii="Arial" w:hAnsi="Arial" w:cs="Arial"/>
          <w:bCs/>
          <w:iCs/>
          <w:lang w:val="pt-BR"/>
        </w:rPr>
        <w:t>3.2.15. A fiscalização não exclui nem reduz a responsabilidade da Contratada pelos danos causados à Administração ou a terceiros, decorrentes de sua culpa ou dolo na execução do contrato, não excluindo ou reduzindo essa responsabilidade a fiscalização ou o acompanhamento pelo órgão.</w:t>
      </w:r>
    </w:p>
    <w:p w14:paraId="59B717F7">
      <w:pPr>
        <w:pStyle w:val="19"/>
        <w:widowControl/>
        <w:tabs>
          <w:tab w:val="left" w:pos="426"/>
        </w:tabs>
        <w:autoSpaceDE/>
        <w:autoSpaceDN/>
        <w:spacing w:before="120" w:after="120" w:line="276" w:lineRule="auto"/>
        <w:ind w:left="0"/>
        <w:jc w:val="both"/>
        <w:rPr>
          <w:rFonts w:hint="default" w:ascii="Arial" w:hAnsi="Arial" w:cs="Arial"/>
          <w:bCs/>
          <w:iCs/>
          <w:lang w:val="pt-BR"/>
        </w:rPr>
      </w:pPr>
    </w:p>
    <w:p w14:paraId="405CC047">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QUARTA – SUBCONTRATAÇÃO</w:t>
      </w:r>
    </w:p>
    <w:p w14:paraId="2045F2F5">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Não será admitida a subcontratação do objeto contratual.</w:t>
      </w:r>
    </w:p>
    <w:p w14:paraId="78A28A08">
      <w:pPr>
        <w:pStyle w:val="19"/>
        <w:widowControl/>
        <w:tabs>
          <w:tab w:val="left" w:pos="426"/>
        </w:tabs>
        <w:autoSpaceDE/>
        <w:autoSpaceDN/>
        <w:spacing w:before="120" w:after="120" w:line="276" w:lineRule="auto"/>
        <w:ind w:left="0"/>
        <w:jc w:val="both"/>
        <w:rPr>
          <w:rFonts w:ascii="Arial" w:hAnsi="Arial" w:cs="Arial"/>
          <w:bCs/>
          <w:i/>
          <w:iCs/>
          <w:color w:val="FF0000"/>
        </w:rPr>
      </w:pPr>
    </w:p>
    <w:p w14:paraId="08FA2577">
      <w:pPr>
        <w:pStyle w:val="19"/>
        <w:numPr>
          <w:ilvl w:val="0"/>
          <w:numId w:val="3"/>
        </w:numPr>
        <w:tabs>
          <w:tab w:val="left" w:pos="284"/>
        </w:tabs>
        <w:spacing w:line="276" w:lineRule="auto"/>
        <w:ind w:left="0" w:firstLine="0"/>
        <w:jc w:val="both"/>
        <w:rPr>
          <w:rFonts w:ascii="Arial" w:hAnsi="Arial" w:cs="Arial" w:eastAsiaTheme="majorEastAsia"/>
          <w:b/>
          <w:bCs/>
          <w:lang w:val="pt-BR" w:eastAsia="pt-BR"/>
        </w:rPr>
      </w:pPr>
      <w:r>
        <w:rPr>
          <w:rFonts w:ascii="Arial" w:hAnsi="Arial" w:cs="Arial" w:eastAsiaTheme="majorEastAsia"/>
          <w:b/>
          <w:bCs/>
          <w:lang w:val="pt-BR" w:eastAsia="pt-BR"/>
        </w:rPr>
        <w:t>CLÁUSULA QUINTA – PREÇO (art. 92, V)</w:t>
      </w:r>
    </w:p>
    <w:p w14:paraId="45061513">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total da contratação é de R$.......... (.....)</w:t>
      </w:r>
    </w:p>
    <w:p w14:paraId="40EA75E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No valor acima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6F9B067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rPr>
      </w:pPr>
      <w:r>
        <w:rPr>
          <w:rFonts w:ascii="Arial" w:hAnsi="Arial" w:cs="Arial"/>
          <w:bCs/>
          <w:iCs/>
          <w:color w:val="auto"/>
        </w:rPr>
        <w:t>O valor acima é meramente estimativo, de forma que os pagamentos devidos ao contratado dependerão dos quantitativos efetivamente fornecidos.</w:t>
      </w:r>
    </w:p>
    <w:p w14:paraId="7F443BAF">
      <w:pPr>
        <w:pStyle w:val="19"/>
        <w:widowControl/>
        <w:tabs>
          <w:tab w:val="left" w:pos="426"/>
        </w:tabs>
        <w:autoSpaceDE/>
        <w:autoSpaceDN/>
        <w:spacing w:before="120" w:after="120" w:line="276" w:lineRule="auto"/>
        <w:ind w:left="0"/>
        <w:jc w:val="both"/>
        <w:rPr>
          <w:rFonts w:ascii="Arial" w:hAnsi="Arial" w:cs="Arial"/>
          <w:bCs/>
          <w:iCs/>
          <w:color w:val="FF0000"/>
        </w:rPr>
      </w:pPr>
    </w:p>
    <w:p w14:paraId="7AA81C12">
      <w:pPr>
        <w:pStyle w:val="19"/>
        <w:numPr>
          <w:ilvl w:val="0"/>
          <w:numId w:val="3"/>
        </w:numPr>
        <w:tabs>
          <w:tab w:val="left" w:pos="284"/>
        </w:tabs>
        <w:spacing w:line="276" w:lineRule="auto"/>
        <w:ind w:left="0" w:firstLine="0"/>
        <w:rPr>
          <w:rFonts w:ascii="Arial" w:hAnsi="Arial" w:cs="Arial"/>
          <w:b/>
          <w:bCs/>
        </w:rPr>
      </w:pPr>
      <w:r>
        <w:rPr>
          <w:rFonts w:ascii="Arial" w:hAnsi="Arial" w:cs="Arial" w:eastAsiaTheme="majorEastAsia"/>
          <w:b/>
          <w:bCs/>
          <w:lang w:val="pt-BR" w:eastAsia="pt-BR"/>
        </w:rPr>
        <w:t xml:space="preserve">CLÁUSULA </w:t>
      </w:r>
      <w:r>
        <w:rPr>
          <w:rFonts w:ascii="Arial" w:hAnsi="Arial" w:cs="Arial"/>
          <w:b/>
          <w:bCs/>
        </w:rPr>
        <w:t>SEXTA - PAGAMENTO (art. 92, V e VI)</w:t>
      </w:r>
    </w:p>
    <w:p w14:paraId="0E54CAC2">
      <w:pPr>
        <w:pStyle w:val="19"/>
        <w:tabs>
          <w:tab w:val="left" w:pos="284"/>
        </w:tabs>
        <w:spacing w:line="276" w:lineRule="auto"/>
        <w:ind w:left="0"/>
        <w:jc w:val="both"/>
        <w:rPr>
          <w:rFonts w:hint="default" w:ascii="Arial" w:hAnsi="Arial" w:cs="Arial" w:eastAsiaTheme="majorEastAsia"/>
          <w:b/>
          <w:bCs/>
          <w:lang w:val="en-US" w:eastAsia="pt-BR"/>
        </w:rPr>
      </w:pPr>
      <w:r>
        <w:rPr>
          <w:rFonts w:hint="default" w:ascii="Arial" w:hAnsi="Arial" w:cs="Arial" w:eastAsiaTheme="majorEastAsia"/>
          <w:b w:val="0"/>
          <w:bCs w:val="0"/>
          <w:lang w:val="en-US" w:eastAsia="pt-BR"/>
        </w:rPr>
        <w:t>6.1. As notas fiscais de serviço deverão ser emitidas em nome do</w:t>
      </w:r>
      <w:r>
        <w:rPr>
          <w:rFonts w:hint="default" w:ascii="Arial" w:hAnsi="Arial" w:cs="Arial" w:eastAsiaTheme="majorEastAsia"/>
          <w:b/>
          <w:bCs/>
          <w:lang w:val="en-US" w:eastAsia="pt-BR"/>
        </w:rPr>
        <w:t xml:space="preserve"> Fundo Municipal de Saúde – CNPJ 11.399.442/0001-79, endereço: Avenida Alberto Braune, 224, 2º andar/sala 221 – Centro/NF-CEP 28613-000.</w:t>
      </w:r>
    </w:p>
    <w:p w14:paraId="35E883FA">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6.2. </w:t>
      </w:r>
      <w:r>
        <w:rPr>
          <w:rFonts w:hint="default" w:ascii="Arial" w:hAnsi="Arial" w:cs="Arial" w:eastAsiaTheme="majorEastAsia"/>
          <w:b w:val="0"/>
          <w:bCs w:val="0"/>
          <w:u w:val="single"/>
          <w:lang w:val="en-US" w:eastAsia="pt-BR"/>
        </w:rPr>
        <w:t>Da liquidação da despesa:</w:t>
      </w:r>
    </w:p>
    <w:p w14:paraId="63FF5508">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6.2.1 . </w:t>
      </w:r>
      <w:r>
        <w:rPr>
          <w:rFonts w:hint="default" w:ascii="Arial" w:hAnsi="Arial" w:cs="Arial" w:eastAsiaTheme="majorEastAsia"/>
          <w:b/>
          <w:bCs/>
          <w:lang w:val="en-US" w:eastAsia="pt-BR"/>
        </w:rPr>
        <w:t>A liquidação será realizada pela Secretaria de Fazenda, a partir do cumprimento das obrigações elencadas no Termo de Referência, em obediência ao Decreto nº 2493, de 07 de novembro de 2023</w:t>
      </w:r>
      <w:r>
        <w:rPr>
          <w:rFonts w:hint="default" w:ascii="Arial" w:hAnsi="Arial" w:cs="Arial" w:eastAsiaTheme="majorEastAsia"/>
          <w:b w:val="0"/>
          <w:bCs w:val="0"/>
          <w:lang w:val="en-US" w:eastAsia="pt-BR"/>
        </w:rPr>
        <w:t xml:space="preserve">, </w:t>
      </w:r>
      <w:r>
        <w:rPr>
          <w:rFonts w:hint="default" w:ascii="Arial" w:hAnsi="Arial" w:cs="Arial" w:eastAsiaTheme="majorEastAsia"/>
          <w:b w:val="0"/>
          <w:bCs w:val="0"/>
          <w:lang w:val="en-US" w:eastAsia="pt-BR"/>
        </w:rPr>
        <w:fldChar w:fldCharType="begin"/>
      </w:r>
      <w:r>
        <w:rPr>
          <w:rFonts w:hint="default" w:ascii="Arial" w:hAnsi="Arial" w:cs="Arial" w:eastAsiaTheme="majorEastAsia"/>
          <w:b w:val="0"/>
          <w:bCs w:val="0"/>
          <w:lang w:val="en-US" w:eastAsia="pt-BR"/>
        </w:rPr>
        <w:instrText xml:space="preserve"> HYPERLINK  "https://pmnf.rj.gov.br/paginas-centralizadas/9_64_Legislacoes.html" </w:instrText>
      </w:r>
      <w:r>
        <w:rPr>
          <w:rFonts w:hint="default" w:ascii="Arial" w:hAnsi="Arial" w:cs="Arial" w:eastAsiaTheme="majorEastAsia"/>
          <w:b w:val="0"/>
          <w:bCs w:val="0"/>
          <w:lang w:val="en-US" w:eastAsia="pt-BR"/>
        </w:rPr>
        <w:fldChar w:fldCharType="separate"/>
      </w:r>
      <w:r>
        <w:rPr>
          <w:rFonts w:hint="default" w:ascii="Arial" w:hAnsi="Arial" w:cs="Arial" w:eastAsiaTheme="majorEastAsia"/>
          <w:b w:val="0"/>
          <w:bCs w:val="0"/>
          <w:lang w:val="en-US" w:eastAsia="pt-BR"/>
        </w:rPr>
        <w:t>https://pmnf.rj.gov.br/paginas-centralizadas/9_64_Legislacoes.html</w:t>
      </w:r>
      <w:r>
        <w:rPr>
          <w:rFonts w:hint="default" w:ascii="Arial" w:hAnsi="Arial" w:cs="Arial" w:eastAsiaTheme="majorEastAsia"/>
          <w:b w:val="0"/>
          <w:bCs w:val="0"/>
          <w:lang w:val="en-US" w:eastAsia="pt-BR"/>
        </w:rPr>
        <w:fldChar w:fldCharType="end"/>
      </w:r>
      <w:r>
        <w:rPr>
          <w:rFonts w:hint="default" w:ascii="Arial" w:hAnsi="Arial" w:cs="Arial" w:eastAsiaTheme="majorEastAsia"/>
          <w:b w:val="0"/>
          <w:bCs w:val="0"/>
          <w:lang w:val="en-US" w:eastAsia="pt-BR"/>
        </w:rPr>
        <w:t>.</w:t>
      </w:r>
    </w:p>
    <w:p w14:paraId="2EC7F4D8">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6.2.2 Deverá ser observado no momento da emissão do Documento Fiscal e na liquidação da despesa os dispositivos do Decreto Municipal nº 2480/2023, o qual dispõe sobre a arrecadação do Imposto de Renda incidente na fonte de que trata o art. 157, inciso I, da Constituição Federal, nos pagamentos a pessoas jurídicas efetuados por órgãos, Fundos e Fundação instituída e mantida pelo Município, observando ainda as regras aplicáveis ao Imposto de Renda incidente na fonte estabelecidas pelo art. 64 da Lei Federal nº 9.430, de 27 de dezembro de 1996, e pela Instrução Normativa da Receita Federal do Brasil nº 1.234, de 11 de janeiro de 2012. </w:t>
      </w:r>
      <w:r>
        <w:rPr>
          <w:rFonts w:hint="default" w:ascii="Arial" w:hAnsi="Arial" w:cs="Arial" w:eastAsiaTheme="majorEastAsia"/>
          <w:b w:val="0"/>
          <w:bCs w:val="0"/>
          <w:lang w:val="en-US" w:eastAsia="pt-BR"/>
        </w:rPr>
        <w:fldChar w:fldCharType="begin"/>
      </w:r>
      <w:r>
        <w:rPr>
          <w:rFonts w:hint="default" w:ascii="Arial" w:hAnsi="Arial" w:cs="Arial" w:eastAsiaTheme="majorEastAsia"/>
          <w:b w:val="0"/>
          <w:bCs w:val="0"/>
          <w:lang w:val="en-US" w:eastAsia="pt-BR"/>
        </w:rPr>
        <w:instrText xml:space="preserve"> HYPERLINK  "https://pmnf.rj.gov.br/paginas-centralizadas/9_64_Legislacoes.html" </w:instrText>
      </w:r>
      <w:r>
        <w:rPr>
          <w:rFonts w:hint="default" w:ascii="Arial" w:hAnsi="Arial" w:cs="Arial" w:eastAsiaTheme="majorEastAsia"/>
          <w:b w:val="0"/>
          <w:bCs w:val="0"/>
          <w:lang w:val="en-US" w:eastAsia="pt-BR"/>
        </w:rPr>
        <w:fldChar w:fldCharType="separate"/>
      </w:r>
      <w:r>
        <w:rPr>
          <w:rFonts w:hint="default" w:ascii="Arial" w:hAnsi="Arial" w:cs="Arial" w:eastAsiaTheme="majorEastAsia"/>
          <w:b w:val="0"/>
          <w:bCs w:val="0"/>
          <w:lang w:val="en-US" w:eastAsia="pt-BR"/>
        </w:rPr>
        <w:t>https://pmnf.rj.gov.br/paginas-centralizadas/9_64_Legislacoes.html</w:t>
      </w:r>
      <w:r>
        <w:rPr>
          <w:rFonts w:hint="default" w:ascii="Arial" w:hAnsi="Arial" w:cs="Arial" w:eastAsiaTheme="majorEastAsia"/>
          <w:b w:val="0"/>
          <w:bCs w:val="0"/>
          <w:lang w:val="en-US" w:eastAsia="pt-BR"/>
        </w:rPr>
        <w:fldChar w:fldCharType="end"/>
      </w:r>
    </w:p>
    <w:p w14:paraId="31BBDD1A">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6.3. </w:t>
      </w:r>
      <w:r>
        <w:rPr>
          <w:rFonts w:hint="default" w:ascii="Arial" w:hAnsi="Arial" w:cs="Arial" w:eastAsiaTheme="majorEastAsia"/>
          <w:b w:val="0"/>
          <w:bCs w:val="0"/>
          <w:u w:val="single"/>
          <w:lang w:val="en-US" w:eastAsia="pt-BR"/>
        </w:rPr>
        <w:t>Do pagamento da despesa:</w:t>
      </w:r>
    </w:p>
    <w:p w14:paraId="03EBB129">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6.3.1. O pagamento será efetuado conforme estabelecido no Decreto Municipal nº 2493, de 07 de novembro de 2023, desde que as certidões listadas abaixo estejam dentro da validade:</w:t>
      </w:r>
    </w:p>
    <w:p w14:paraId="54DEFE33">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Negativa de Débitos Trabalhistas;</w:t>
      </w:r>
    </w:p>
    <w:p w14:paraId="5C27BE12">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Fazenda Federal – abrange as contribuições sociais; </w:t>
      </w:r>
    </w:p>
    <w:p w14:paraId="4A28B233">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FGTS; </w:t>
      </w:r>
    </w:p>
    <w:p w14:paraId="6332BBD0">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PGE – referente à Dívida Ativa Estadual;</w:t>
      </w:r>
    </w:p>
    <w:p w14:paraId="200317AC">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 xml:space="preserve">Municipal – referente ao ISS e Dívida Ativa; </w:t>
      </w:r>
    </w:p>
    <w:p w14:paraId="6FDBB313">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Estadual CND – referente ao ICMS.</w:t>
      </w:r>
    </w:p>
    <w:p w14:paraId="1DB810EE">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6.3.2. A Nota Fiscal deverá conter a identificação do Banco, número da Agência e da Conta-Corrente, para que possibilite o CONTRATANTE efetuar o pagamento do valor devido;</w:t>
      </w:r>
    </w:p>
    <w:p w14:paraId="62B0CA69">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6.3.3. Na ocorrência de rejeição da(s) Nota(s) Fiscal (s), motivada por erro ou incorreções, o prazo para pagamento estipulado acima passará a ser contado a partir da data de sua reapresentação.</w:t>
      </w:r>
    </w:p>
    <w:p w14:paraId="151F822A">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6.3.4. Consoante o artigo 45 da Lei nº 9.784, de 1999, a Administração Pública poderá, sem a prévia manifestação do interessado, motivadamente, adotar providências acauteladoras, inclusive retendo o pagamento, em caso de risco iminente, como forma de prevenir a ocorrência de dano de difícil ou impossível reparação.</w:t>
      </w:r>
    </w:p>
    <w:p w14:paraId="27EDDC70">
      <w:pPr>
        <w:pStyle w:val="19"/>
        <w:tabs>
          <w:tab w:val="left" w:pos="284"/>
        </w:tabs>
        <w:spacing w:line="276" w:lineRule="auto"/>
        <w:ind w:left="0"/>
        <w:jc w:val="both"/>
        <w:rPr>
          <w:rFonts w:hint="default" w:ascii="Arial" w:hAnsi="Arial" w:cs="Arial" w:eastAsiaTheme="majorEastAsia"/>
          <w:b w:val="0"/>
          <w:bCs w:val="0"/>
          <w:lang w:val="en-US" w:eastAsia="pt-BR"/>
        </w:rPr>
      </w:pPr>
      <w:r>
        <w:rPr>
          <w:rFonts w:hint="default" w:ascii="Arial" w:hAnsi="Arial" w:cs="Arial" w:eastAsiaTheme="majorEastAsia"/>
          <w:b w:val="0"/>
          <w:bCs w:val="0"/>
          <w:lang w:val="en-US" w:eastAsia="pt-BR"/>
        </w:rPr>
        <w:t>6.3.5 O pagamento será efetuado pelo Município de Nova Friburgo mediante crédito em conta-corrente da contratada, até o 30º (trigésimo) dia corrido, a contar da atestação da Nota (s) Fiscal(ais) apresentada pela contratada, desde que cumpridas as formalidades legais e contratuais previstas, e de acordo com o Decreto Municipal nº. 2493, de 07 de novembro de 2023.</w:t>
      </w:r>
    </w:p>
    <w:p w14:paraId="75716805">
      <w:pPr>
        <w:pStyle w:val="19"/>
        <w:tabs>
          <w:tab w:val="left" w:pos="284"/>
        </w:tabs>
        <w:spacing w:line="276" w:lineRule="auto"/>
        <w:ind w:left="0"/>
        <w:jc w:val="both"/>
        <w:rPr>
          <w:rFonts w:hint="default" w:ascii="Arial" w:hAnsi="Arial" w:cs="Arial" w:eastAsiaTheme="majorEastAsia"/>
          <w:b w:val="0"/>
          <w:bCs w:val="0"/>
          <w:lang w:val="en-US" w:eastAsia="pt-BR"/>
        </w:rPr>
      </w:pPr>
    </w:p>
    <w:p w14:paraId="21F1B0E3">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SÉTIMA - REAJUSTE (art. 92, V)</w:t>
      </w:r>
    </w:p>
    <w:p w14:paraId="591EF077">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Os preços inicialmente contratados são fixos e irreajustáveis no prazo de um ano contado da data do orçamento estimado, em __/__/__ (DD/MM/AAAA).</w:t>
      </w:r>
    </w:p>
    <w:p w14:paraId="02F18C5D">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Após o interregno de um ano, e independentemente de pedido do contratado, os preços iniciais serão reajustados, mediante a aplicação, pelo contratante, </w:t>
      </w:r>
      <w:r>
        <w:rPr>
          <w:rFonts w:ascii="Arial" w:hAnsi="Arial" w:cs="Arial"/>
          <w:bCs/>
          <w:iCs/>
          <w:lang w:val="pt-BR"/>
        </w:rPr>
        <w:t>do Índice Nacional de Preços ao Consumidor Amplo (IPCA), instituído pelo Instituto Brasileiro de Geografia e Estatística (IBGE)</w:t>
      </w:r>
      <w:r>
        <w:rPr>
          <w:rFonts w:ascii="Arial" w:hAnsi="Arial" w:cs="Arial"/>
          <w:bCs/>
          <w:iCs/>
        </w:rPr>
        <w:t>, exclusivamente para as obrigações iniciadas e concluídas após a ocorrência da anualidade.</w:t>
      </w:r>
    </w:p>
    <w:p w14:paraId="4669A24E">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Nos reajustes subsequentes ao primeiro, o interregno mínimo de um ano será contado a partir dos efeitos financeiros do último reajuste.</w:t>
      </w:r>
    </w:p>
    <w:p w14:paraId="7207B33B">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1D6A285">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Nas aferições finais, o(s) índice(s) utilizado(s) para reajuste será(ão), obrigatoriamente, o(s) definitivo(s).</w:t>
      </w:r>
    </w:p>
    <w:p w14:paraId="19063B6C">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Caso o(s) índice(s) estabelecido(s) para reajustamento venha(m) a ser extinto(s) ou de qualquer forma não possa(m) mais ser utilizado(s), será(ão) adotado(s), em substituição, o(s) que vier(em) a ser determinado(s) pela legislação então em vigor.</w:t>
      </w:r>
    </w:p>
    <w:p w14:paraId="3E59BE2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 xml:space="preserve">Na ausência de previsão legal quanto ao índice substituto, as partes elegerão novo índice oficial, para reajustamento do preço do valor remanescente, por meio de termo aditivo. </w:t>
      </w:r>
    </w:p>
    <w:p w14:paraId="60714F99">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rPr>
      </w:pPr>
      <w:r>
        <w:rPr>
          <w:rFonts w:ascii="Arial" w:hAnsi="Arial" w:cs="Arial"/>
          <w:bCs/>
          <w:iCs/>
        </w:rPr>
        <w:t>O reajuste será realizado por apostilamento.</w:t>
      </w:r>
    </w:p>
    <w:p w14:paraId="4153A7E2">
      <w:pPr>
        <w:widowControl/>
        <w:tabs>
          <w:tab w:val="left" w:pos="426"/>
        </w:tabs>
        <w:autoSpaceDE/>
        <w:autoSpaceDN/>
        <w:spacing w:before="120" w:after="120" w:line="276" w:lineRule="auto"/>
        <w:jc w:val="both"/>
        <w:rPr>
          <w:rFonts w:ascii="Arial" w:hAnsi="Arial" w:cs="Arial"/>
          <w:bCs/>
          <w:i/>
          <w:color w:val="FF0000"/>
        </w:rPr>
      </w:pPr>
    </w:p>
    <w:p w14:paraId="0ED6C154">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OITAVA - OBRIGAÇÕES DO CONTRATANTE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 XI e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61B252B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Contratante:</w:t>
      </w:r>
    </w:p>
    <w:p w14:paraId="29F7AC0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Exigir o cumprimento de todas as obrigações assumidas pelo Contratado, de acordo com o contrato e seus anexos;</w:t>
      </w:r>
    </w:p>
    <w:p w14:paraId="7E237646">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Receber o objeto no prazo e condições estabelecidas no Termo de Referência;</w:t>
      </w:r>
    </w:p>
    <w:p w14:paraId="6D38832B">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Notificar o Contratado, por escrito, sobre vícios, defeitos ou incorreções verificadas no objeto fornecido, para que seja por ele substituído, reparado ou corrigido, no total ou em parte, às suas expensas;</w:t>
      </w:r>
    </w:p>
    <w:p w14:paraId="7B1E4C0E">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Acompanhar e fiscalizar a execução do contrato e o cumprimento das obrigações pelo Contratado;</w:t>
      </w:r>
    </w:p>
    <w:p w14:paraId="6E993448">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Efetuar o pagamento ao Contratado do valor correspondente ao fornecimento do objeto, no prazo, forma e condições estabelecidos no presente Contrato e no Termo de Referência.</w:t>
      </w:r>
    </w:p>
    <w:p w14:paraId="4FE385CD">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Aplicar ao Contratado as sanções previstas na lei e neste Contrato; </w:t>
      </w:r>
    </w:p>
    <w:p w14:paraId="6F8583A9">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Cientificar o órgão de representação judicial da Procuradoria Geral Municipal para adoção das medidas cabíveis quando do descumprimento de obrigações pelo Contratado;</w:t>
      </w:r>
    </w:p>
    <w:p w14:paraId="7F835EF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D363C5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A Administração terá o prazo de </w:t>
      </w:r>
      <w:r>
        <w:rPr>
          <w:rFonts w:ascii="Arial" w:hAnsi="Arial" w:cs="Arial"/>
          <w:bCs/>
          <w:iCs/>
        </w:rPr>
        <w:t>1 (um) mês</w:t>
      </w:r>
      <w:r>
        <w:rPr>
          <w:rFonts w:ascii="Arial" w:hAnsi="Arial" w:cs="Arial"/>
          <w:bCs/>
          <w:iCs/>
          <w:lang w:val="pt-BR"/>
        </w:rPr>
        <w:t xml:space="preserve">, a contar da data do protocolo do requerimento para decidir, admitida a prorrogação motivada, por igual período. </w:t>
      </w:r>
    </w:p>
    <w:p w14:paraId="40CB59AF">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Responder eventuais pedidos de reestabelecimento do equilíbrio econômico-financeiro feitos pelo contratado no prazo máximo de </w:t>
      </w:r>
      <w:r>
        <w:rPr>
          <w:rFonts w:ascii="Arial" w:hAnsi="Arial" w:cs="Arial"/>
          <w:bCs/>
          <w:iCs/>
        </w:rPr>
        <w:t>1 (um) mês</w:t>
      </w:r>
      <w:r>
        <w:rPr>
          <w:rFonts w:ascii="Arial" w:hAnsi="Arial" w:cs="Arial"/>
          <w:bCs/>
          <w:iCs/>
          <w:lang w:val="pt-BR"/>
        </w:rPr>
        <w:t>.</w:t>
      </w:r>
    </w:p>
    <w:p w14:paraId="46D62D3D">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Comunicar o Contratado na hipótese de posterior alteração do projeto pelo Contratante, no caso </w:t>
      </w:r>
      <w:r>
        <w:fldChar w:fldCharType="begin"/>
      </w:r>
      <w:r>
        <w:instrText xml:space="preserve"> HYPERLINK "http://www.planalto.gov.br/ccivil_03/_ato2019-2022/2021/lei/L14133.htm" \l "art93§2" </w:instrText>
      </w:r>
      <w:r>
        <w:fldChar w:fldCharType="separate"/>
      </w:r>
      <w:r>
        <w:rPr>
          <w:rFonts w:ascii="Arial" w:hAnsi="Arial" w:cs="Arial"/>
          <w:bCs/>
          <w:iCs/>
          <w:lang w:val="pt-BR"/>
        </w:rPr>
        <w:t>do art. 93, §2º, da Lei nº 14.133, de 2021</w:t>
      </w:r>
      <w:r>
        <w:rPr>
          <w:rFonts w:ascii="Arial" w:hAnsi="Arial" w:cs="Arial"/>
          <w:bCs/>
          <w:iCs/>
          <w:lang w:val="pt-BR"/>
        </w:rPr>
        <w:fldChar w:fldCharType="end"/>
      </w:r>
      <w:r>
        <w:rPr>
          <w:rFonts w:ascii="Arial" w:hAnsi="Arial" w:cs="Arial"/>
          <w:bCs/>
          <w:iCs/>
          <w:lang w:val="pt-BR"/>
        </w:rPr>
        <w:t>.</w:t>
      </w:r>
    </w:p>
    <w:p w14:paraId="007C8C7C">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31113851">
      <w:pPr>
        <w:pStyle w:val="19"/>
        <w:widowControl/>
        <w:tabs>
          <w:tab w:val="left" w:pos="426"/>
        </w:tabs>
        <w:autoSpaceDE/>
        <w:autoSpaceDN/>
        <w:spacing w:before="120" w:after="120" w:line="276" w:lineRule="auto"/>
        <w:ind w:left="862"/>
        <w:jc w:val="both"/>
        <w:rPr>
          <w:rFonts w:ascii="Arial" w:hAnsi="Arial" w:cs="Arial"/>
          <w:bCs/>
          <w:iCs/>
          <w:lang w:val="pt-BR"/>
        </w:rPr>
      </w:pPr>
    </w:p>
    <w:p w14:paraId="6DAC6522">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CLÁUSULA NONA - OBRIGAÇÕES DO CONTRATADO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 XVI e XVII)</w:t>
      </w:r>
      <w:r>
        <w:rPr>
          <w:rFonts w:ascii="Arial" w:hAnsi="Arial" w:cs="Arial" w:eastAsiaTheme="majorEastAsia"/>
          <w:b/>
          <w:bCs/>
          <w:lang w:val="pt-BR" w:eastAsia="pt-BR"/>
        </w:rPr>
        <w:fldChar w:fldCharType="end"/>
      </w:r>
    </w:p>
    <w:p w14:paraId="77FCC45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Além daquelas dispostas no termo de Referência, anexo a este Contrato, são obrigações do Contratado:</w:t>
      </w:r>
    </w:p>
    <w:p w14:paraId="0D59A097">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693BB2B2">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Manter preposto aceito pela Administração no local do serviço para representá-lo na execução do contrato.</w:t>
      </w:r>
    </w:p>
    <w:p w14:paraId="3D300FBD">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 indicação ou a manutenção do preposto da empresa poderá ser recusada pelo órgão ou entidade, desde que devidamente justificada, devendo a empresa designar outro para o exercício da atividade.</w:t>
      </w:r>
    </w:p>
    <w:p w14:paraId="29DC89DC">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Atender às determinações regulares emitidas pelo fiscal do contrato ou autoridade superior (</w:t>
      </w:r>
      <w:r>
        <w:fldChar w:fldCharType="begin"/>
      </w:r>
      <w:r>
        <w:instrText xml:space="preserve"> HYPERLINK "http://www.planalto.gov.br/ccivil_03/_ato2019-2022/2021/lei/L14133.htm" \l "art137" </w:instrText>
      </w:r>
      <w:r>
        <w:fldChar w:fldCharType="separate"/>
      </w:r>
      <w:r>
        <w:rPr>
          <w:rFonts w:ascii="Arial" w:hAnsi="Arial" w:cs="Arial"/>
          <w:bCs/>
          <w:iCs/>
          <w:lang w:val="pt-BR"/>
        </w:rPr>
        <w:t>art. 137, II</w:t>
      </w:r>
      <w:r>
        <w:rPr>
          <w:rFonts w:ascii="Arial" w:hAnsi="Arial" w:cs="Arial"/>
          <w:bCs/>
          <w:iCs/>
          <w:lang w:val="pt-BR"/>
        </w:rPr>
        <w:fldChar w:fldCharType="end"/>
      </w:r>
      <w:r>
        <w:rPr>
          <w:rFonts w:ascii="Arial" w:hAnsi="Arial" w:cs="Arial"/>
          <w:bCs/>
          <w:iCs/>
          <w:lang w:val="pt-BR"/>
        </w:rPr>
        <w:t>) e prestar todo esclarecimento ou informação por eles solicitados;</w:t>
      </w:r>
    </w:p>
    <w:p w14:paraId="2165F2E1">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224E636A">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0FF37658">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Responsabilizar-se pelos vícios e danos decorrentes da execução do objeto, de acordo com o </w:t>
      </w:r>
      <w:r>
        <w:fldChar w:fldCharType="begin"/>
      </w:r>
      <w:r>
        <w:instrText xml:space="preserve"> HYPERLINK "https://www.planalto.gov.br/ccivil_03/leis/l8078compilado.htm" </w:instrText>
      </w:r>
      <w:r>
        <w:fldChar w:fldCharType="separate"/>
      </w:r>
      <w:r>
        <w:rPr>
          <w:rFonts w:ascii="Arial" w:hAnsi="Arial" w:cs="Arial"/>
          <w:bCs/>
          <w:iCs/>
          <w:lang w:val="pt-BR"/>
        </w:rPr>
        <w:t>Código de Defesa do Consumidor (Lei nº 8.078, de 1990</w:t>
      </w:r>
      <w:r>
        <w:rPr>
          <w:rFonts w:ascii="Arial" w:hAnsi="Arial" w:cs="Arial"/>
          <w:bCs/>
          <w:iCs/>
          <w:lang w:val="pt-BR"/>
        </w:rPr>
        <w:fldChar w:fldCharType="end"/>
      </w:r>
      <w:r>
        <w:rPr>
          <w:rFonts w:ascii="Arial" w:hAnsi="Arial" w:cs="Arial"/>
          <w:bCs/>
          <w:iCs/>
          <w:lang w:val="pt-BR"/>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53004528">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Não contratar, durante a vigência do contrato, cônjuge, companheiro ou parente em linha reta, colateral ou por afinidade, até o terceiro grau, de dirigente do contratante ou do fiscal ou gestor do contrato, nos termos do </w:t>
      </w:r>
      <w:r>
        <w:fldChar w:fldCharType="begin"/>
      </w:r>
      <w:r>
        <w:instrText xml:space="preserve"> HYPERLINK "http://www.planalto.gov.br/ccivil_03/_ato2019-2022/2021/lei/L14133.htm" \l "art48" </w:instrText>
      </w:r>
      <w:r>
        <w:fldChar w:fldCharType="separate"/>
      </w:r>
      <w:r>
        <w:rPr>
          <w:rFonts w:ascii="Arial" w:hAnsi="Arial" w:cs="Arial"/>
          <w:bCs/>
          <w:iCs/>
          <w:lang w:val="pt-BR"/>
        </w:rPr>
        <w:t>artigo 48, parágrafo único, da Lei nº 14.133, de 2021</w:t>
      </w:r>
      <w:r>
        <w:rPr>
          <w:rFonts w:ascii="Arial" w:hAnsi="Arial" w:cs="Arial"/>
          <w:bCs/>
          <w:iCs/>
          <w:lang w:val="pt-BR"/>
        </w:rPr>
        <w:fldChar w:fldCharType="end"/>
      </w:r>
      <w:r>
        <w:rPr>
          <w:rFonts w:ascii="Arial" w:hAnsi="Arial" w:cs="Arial"/>
          <w:bCs/>
          <w:iCs/>
          <w:lang w:val="pt-BR"/>
        </w:rPr>
        <w:t>;</w:t>
      </w:r>
    </w:p>
    <w:p w14:paraId="0D9D8413">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57EC46CC">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53B4E991">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Comunicar ao Fiscal do contrato, no prazo de 24 (vinte e quatro) horas, qualquer ocorrência anormal ou acidente que se verifique no local dos serviços.</w:t>
      </w:r>
    </w:p>
    <w:p w14:paraId="47A142E8">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Prestar todo esclarecimento ou informação solicitada pelo Contratante ou por seus prepostos, garantindo-lhes o acesso, a qualquer tempo, ao local dos trabalhos, bem como aos documentos relativos à execução do empreendimento.</w:t>
      </w:r>
    </w:p>
    <w:p w14:paraId="1F42D437">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Paralisar, por determinação do Contratante, qualquer atividade que não esteja sendo executada de acordo com a boa técnica ou que ponha em risco a segurança de pessoas ou bens de terceiros.</w:t>
      </w:r>
    </w:p>
    <w:p w14:paraId="714F888D">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Promover a guarda, manutenção e vigilância de materiais, ferramentas, e tudo o que for necessário à execução do objeto, durante a vigência do contrato.</w:t>
      </w:r>
    </w:p>
    <w:p w14:paraId="7BFFC544">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Conduzir os trabalhos com estrita observância às normas da legislação pertinente, cumprindo as determinações dos Poderes Públicos, mantendo sempre limpo o local dos serviços e nas melhores condições de segurança, higiene e disciplina.</w:t>
      </w:r>
    </w:p>
    <w:p w14:paraId="06CEB594">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Submeter previamente, por escrito, ao Contratante, para análise e aprovação, quaisquer mudanças nos métodos executivos que fujam às especificações do memorial descritivo ou instrumento congênere.</w:t>
      </w:r>
    </w:p>
    <w:p w14:paraId="43217D5C">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Não permitir a utilização de qualquer trabalho do menor de dezesseis anos, exceto na condição de aprendiz para os maiores de quatorze anos, nem permitir a utilização do trabalho do menor de dezoito anos em trabalho noturno, perigoso ou insalubre;</w:t>
      </w:r>
    </w:p>
    <w:p w14:paraId="604D3389">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 Manter durante toda a vigência do contrato, em compatibilidade com as obrigações assumidas, todas as condições exigidas para habilitação na licitação; </w:t>
      </w:r>
    </w:p>
    <w:p w14:paraId="7E6B746F">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Cumprir, durante todo o período de execução do contrato, a reserva de cargos prevista em lei para pessoa com deficiência, para reabilitado da Previdência Social ou para aprendiz, bem como as reservas de cargos previstas na legislação (</w:t>
      </w:r>
      <w:r>
        <w:fldChar w:fldCharType="begin"/>
      </w:r>
      <w:r>
        <w:instrText xml:space="preserve"> HYPERLINK "http://www.planalto.gov.br/ccivil_03/_ato2019-2022/2021/lei/L14133.htm" \l "art116" </w:instrText>
      </w:r>
      <w:r>
        <w:fldChar w:fldCharType="separate"/>
      </w:r>
      <w:r>
        <w:rPr>
          <w:rFonts w:ascii="Arial" w:hAnsi="Arial" w:cs="Arial"/>
          <w:bCs/>
          <w:iCs/>
          <w:lang w:val="pt-BR"/>
        </w:rPr>
        <w:t>art. 116</w:t>
      </w:r>
      <w:r>
        <w:rPr>
          <w:rFonts w:ascii="Arial" w:hAnsi="Arial" w:cs="Arial"/>
          <w:bCs/>
          <w:iCs/>
          <w:lang w:val="pt-BR"/>
        </w:rPr>
        <w:fldChar w:fldCharType="end"/>
      </w:r>
      <w:r>
        <w:rPr>
          <w:rFonts w:ascii="Arial" w:hAnsi="Arial" w:cs="Arial"/>
          <w:bCs/>
          <w:iCs/>
          <w:lang w:val="pt-BR"/>
        </w:rPr>
        <w:t>);</w:t>
      </w:r>
    </w:p>
    <w:p w14:paraId="41D32ADF">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Comprovar a reserva de cargos a que se refere a cláusula acima, no prazo fixado pelo fiscal do contrato, com a indicação dos empregados que preencheram as referidas vagas (</w:t>
      </w:r>
      <w:r>
        <w:fldChar w:fldCharType="begin"/>
      </w:r>
      <w:r>
        <w:instrText xml:space="preserve"> HYPERLINK "http://www.planalto.gov.br/ccivil_03/_ato2019-2022/2021/lei/L14133.htm" \l "art116" </w:instrText>
      </w:r>
      <w:r>
        <w:fldChar w:fldCharType="separate"/>
      </w:r>
      <w:r>
        <w:rPr>
          <w:rFonts w:ascii="Arial" w:hAnsi="Arial" w:cs="Arial"/>
          <w:bCs/>
          <w:iCs/>
          <w:lang w:val="pt-BR"/>
        </w:rPr>
        <w:t>art. 116, parágrafo único</w:t>
      </w:r>
      <w:r>
        <w:rPr>
          <w:rFonts w:ascii="Arial" w:hAnsi="Arial" w:cs="Arial"/>
          <w:bCs/>
          <w:iCs/>
          <w:lang w:val="pt-BR"/>
        </w:rPr>
        <w:fldChar w:fldCharType="end"/>
      </w:r>
      <w:r>
        <w:rPr>
          <w:rFonts w:ascii="Arial" w:hAnsi="Arial" w:cs="Arial"/>
          <w:bCs/>
          <w:iCs/>
          <w:lang w:val="pt-BR"/>
        </w:rPr>
        <w:t>);</w:t>
      </w:r>
    </w:p>
    <w:p w14:paraId="4ED270B5">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Guardar sigilo sobre todas as informações obtidas em decorrência do cumprimento do contrato;</w:t>
      </w:r>
    </w:p>
    <w:p w14:paraId="588D36CB">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r>
        <w:fldChar w:fldCharType="begin"/>
      </w:r>
      <w:r>
        <w:instrText xml:space="preserve"> HYPERLINK "http://www.planalto.gov.br/ccivil_03/_ato2019-2022/2021/lei/L14133.htm" \l "art124" </w:instrText>
      </w:r>
      <w:r>
        <w:fldChar w:fldCharType="separate"/>
      </w:r>
      <w:r>
        <w:rPr>
          <w:rFonts w:ascii="Arial" w:hAnsi="Arial" w:cs="Arial"/>
          <w:bCs/>
          <w:iCs/>
          <w:lang w:val="pt-BR"/>
        </w:rPr>
        <w:t>art. 124, II, d, da Lei nº 14.133, de 2021</w:t>
      </w:r>
      <w:r>
        <w:rPr>
          <w:rFonts w:ascii="Arial" w:hAnsi="Arial" w:cs="Arial"/>
          <w:bCs/>
          <w:iCs/>
          <w:lang w:val="pt-BR"/>
        </w:rPr>
        <w:fldChar w:fldCharType="end"/>
      </w:r>
      <w:r>
        <w:rPr>
          <w:rFonts w:ascii="Arial" w:hAnsi="Arial" w:cs="Arial"/>
          <w:bCs/>
          <w:iCs/>
          <w:lang w:val="pt-BR"/>
        </w:rPr>
        <w:t>;</w:t>
      </w:r>
    </w:p>
    <w:p w14:paraId="61C0091F">
      <w:pPr>
        <w:pStyle w:val="19"/>
        <w:widowControl/>
        <w:numPr>
          <w:ilvl w:val="2"/>
          <w:numId w:val="3"/>
        </w:numPr>
        <w:tabs>
          <w:tab w:val="left" w:pos="426"/>
        </w:tabs>
        <w:autoSpaceDE/>
        <w:autoSpaceDN/>
        <w:spacing w:before="120" w:after="120" w:line="276" w:lineRule="auto"/>
        <w:jc w:val="both"/>
        <w:rPr>
          <w:rFonts w:ascii="Arial" w:hAnsi="Arial" w:cs="Arial"/>
          <w:bCs/>
          <w:iCs/>
          <w:lang w:val="pt-BR"/>
        </w:rPr>
      </w:pPr>
      <w:r>
        <w:rPr>
          <w:rFonts w:ascii="Arial" w:hAnsi="Arial" w:cs="Arial"/>
          <w:bCs/>
          <w:iCs/>
          <w:lang w:val="pt-BR"/>
        </w:rPr>
        <w:t>Cumprir, além dos postulados legais vigentes de âmbito federal, estadual ou municipal, as normas de segurança do Contratante.</w:t>
      </w:r>
    </w:p>
    <w:p w14:paraId="052CEB3F">
      <w:pPr>
        <w:pStyle w:val="19"/>
        <w:widowControl/>
        <w:numPr>
          <w:ilvl w:val="0"/>
          <w:numId w:val="0"/>
        </w:numPr>
        <w:tabs>
          <w:tab w:val="left" w:pos="426"/>
        </w:tabs>
        <w:autoSpaceDE/>
        <w:autoSpaceDN/>
        <w:spacing w:before="120" w:after="120" w:line="276" w:lineRule="auto"/>
        <w:ind w:left="142" w:leftChars="0"/>
        <w:jc w:val="both"/>
        <w:rPr>
          <w:rFonts w:ascii="Arial" w:hAnsi="Arial" w:cs="Arial"/>
          <w:bCs/>
          <w:iCs/>
          <w:lang w:val="pt-BR"/>
        </w:rPr>
      </w:pPr>
    </w:p>
    <w:p w14:paraId="0D77C7BB">
      <w:pPr>
        <w:pStyle w:val="19"/>
        <w:numPr>
          <w:ilvl w:val="0"/>
          <w:numId w:val="3"/>
        </w:numPr>
        <w:tabs>
          <w:tab w:val="left" w:pos="284"/>
        </w:tabs>
        <w:spacing w:line="276" w:lineRule="auto"/>
        <w:ind w:left="0" w:firstLine="0"/>
        <w:rPr>
          <w:rFonts w:ascii="Arial" w:hAnsi="Arial" w:cs="Arial" w:eastAsiaTheme="majorEastAsia"/>
          <w:b/>
          <w:bCs/>
          <w:highlight w:val="yellow"/>
          <w:lang w:eastAsia="pt-BR"/>
        </w:rPr>
      </w:pPr>
      <w:r>
        <w:rPr>
          <w:rFonts w:ascii="Arial" w:hAnsi="Arial" w:cs="Arial" w:eastAsiaTheme="majorEastAsia"/>
          <w:b/>
          <w:bCs/>
          <w:lang w:val="pt-BR" w:eastAsia="pt-BR"/>
        </w:rPr>
        <w:t xml:space="preserve"> </w:t>
      </w:r>
      <w:r>
        <w:rPr>
          <w:rFonts w:ascii="Arial" w:hAnsi="Arial" w:cs="Arial" w:eastAsiaTheme="majorEastAsia"/>
          <w:b/>
          <w:bCs/>
          <w:lang w:eastAsia="pt-BR"/>
        </w:rPr>
        <w:t xml:space="preserve">CLÁUSULA DÉCIMA- OBRIGAÇÕES PERTINENTES À LGPD </w:t>
      </w:r>
    </w:p>
    <w:p w14:paraId="497BD19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As partes deverão cumprir a </w:t>
      </w:r>
      <w:r>
        <w:rPr>
          <w:color w:val="auto"/>
        </w:rPr>
        <w:fldChar w:fldCharType="begin"/>
      </w:r>
      <w:r>
        <w:rPr>
          <w:color w:val="auto"/>
        </w:rPr>
        <w:instrText xml:space="preserve"> HYPERLINK "https://www.planalto.gov.br/ccivil_03/_ato2015-2018/2018/lei/l13709.htm" </w:instrText>
      </w:r>
      <w:r>
        <w:rPr>
          <w:color w:val="auto"/>
        </w:rPr>
        <w:fldChar w:fldCharType="separate"/>
      </w:r>
      <w:r>
        <w:rPr>
          <w:rFonts w:ascii="Arial" w:hAnsi="Arial" w:cs="Arial"/>
          <w:bCs/>
          <w:iCs/>
          <w:color w:val="auto"/>
          <w:lang w:val="pt-BR"/>
        </w:rPr>
        <w:t>Lei nº 13.709, de 14 de agosto de 2018 (LGPD)</w:t>
      </w:r>
      <w:r>
        <w:rPr>
          <w:rFonts w:ascii="Arial" w:hAnsi="Arial" w:cs="Arial"/>
          <w:bCs/>
          <w:iCs/>
          <w:color w:val="auto"/>
          <w:lang w:val="pt-BR"/>
        </w:rPr>
        <w:fldChar w:fldCharType="end"/>
      </w:r>
      <w:r>
        <w:rPr>
          <w:rFonts w:ascii="Arial" w:hAnsi="Arial" w:cs="Arial"/>
          <w:bCs/>
          <w:iCs/>
          <w:color w:val="auto"/>
          <w:lang w:val="pt-BR"/>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58A0E74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Os dados obtidos somente poderão ser utilizados para as finalidades que justificaram seu acesso e de acordo com a boa-fé e com os princípios do </w:t>
      </w:r>
      <w:r>
        <w:rPr>
          <w:color w:val="auto"/>
        </w:rPr>
        <w:fldChar w:fldCharType="begin"/>
      </w:r>
      <w:r>
        <w:rPr>
          <w:color w:val="auto"/>
        </w:rPr>
        <w:instrText xml:space="preserve"> HYPERLINK "https://www.planalto.gov.br/ccivil_03/_ato2015-2018/2018/lei/l13709.htm" \l "art6" </w:instrText>
      </w:r>
      <w:r>
        <w:rPr>
          <w:color w:val="auto"/>
        </w:rPr>
        <w:fldChar w:fldCharType="separate"/>
      </w:r>
      <w:r>
        <w:rPr>
          <w:rFonts w:ascii="Arial" w:hAnsi="Arial" w:cs="Arial"/>
          <w:bCs/>
          <w:iCs/>
          <w:color w:val="auto"/>
          <w:lang w:val="pt-BR"/>
        </w:rPr>
        <w:t>art. 6º da LGPD</w:t>
      </w:r>
      <w:r>
        <w:rPr>
          <w:rFonts w:ascii="Arial" w:hAnsi="Arial" w:cs="Arial"/>
          <w:bCs/>
          <w:iCs/>
          <w:color w:val="auto"/>
          <w:lang w:val="pt-BR"/>
        </w:rPr>
        <w:fldChar w:fldCharType="end"/>
      </w:r>
      <w:r>
        <w:rPr>
          <w:rFonts w:ascii="Arial" w:hAnsi="Arial" w:cs="Arial"/>
          <w:bCs/>
          <w:iCs/>
          <w:color w:val="auto"/>
          <w:lang w:val="pt-BR"/>
        </w:rPr>
        <w:t xml:space="preserve">. </w:t>
      </w:r>
    </w:p>
    <w:p w14:paraId="22074500">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É vedado o compartilhamento com terceiros dos dados obtidos fora das hipóteses permitidas em Lei.</w:t>
      </w:r>
    </w:p>
    <w:p w14:paraId="147A2AF7">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A Administração deverá ser informada no prazo de 5 (cinco) dias úteis sobre todos os contratos de suboperação firmados ou que venham a ser celebrados pelo Contratado. </w:t>
      </w:r>
    </w:p>
    <w:p w14:paraId="16611B73">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Terminado o tratamento dos dados nos termos do </w:t>
      </w:r>
      <w:r>
        <w:rPr>
          <w:color w:val="auto"/>
        </w:rPr>
        <w:fldChar w:fldCharType="begin"/>
      </w:r>
      <w:r>
        <w:rPr>
          <w:color w:val="auto"/>
        </w:rPr>
        <w:instrText xml:space="preserve"> HYPERLINK "https://www.planalto.gov.br/ccivil_03/_ato2015-2018/2018/lei/l13709.htm" \l "art15" </w:instrText>
      </w:r>
      <w:r>
        <w:rPr>
          <w:color w:val="auto"/>
        </w:rPr>
        <w:fldChar w:fldCharType="separate"/>
      </w:r>
      <w:r>
        <w:rPr>
          <w:rFonts w:ascii="Arial" w:hAnsi="Arial" w:cs="Arial"/>
          <w:bCs/>
          <w:iCs/>
          <w:color w:val="auto"/>
          <w:lang w:val="pt-BR"/>
        </w:rPr>
        <w:t>art. 15 da LGPD</w:t>
      </w:r>
      <w:r>
        <w:rPr>
          <w:rFonts w:ascii="Arial" w:hAnsi="Arial" w:cs="Arial"/>
          <w:bCs/>
          <w:iCs/>
          <w:color w:val="auto"/>
          <w:lang w:val="pt-BR"/>
        </w:rPr>
        <w:fldChar w:fldCharType="end"/>
      </w:r>
      <w:r>
        <w:rPr>
          <w:rFonts w:ascii="Arial" w:hAnsi="Arial" w:cs="Arial"/>
          <w:bCs/>
          <w:iCs/>
          <w:color w:val="auto"/>
          <w:lang w:val="pt-BR"/>
        </w:rPr>
        <w:t xml:space="preserve">, é dever do contratado eliminá-los, com exceção das hipóteses do </w:t>
      </w:r>
      <w:r>
        <w:rPr>
          <w:color w:val="auto"/>
        </w:rPr>
        <w:fldChar w:fldCharType="begin"/>
      </w:r>
      <w:r>
        <w:rPr>
          <w:color w:val="auto"/>
        </w:rPr>
        <w:instrText xml:space="preserve"> HYPERLINK "https://www.planalto.gov.br/ccivil_03/_ato2015-2018/2018/lei/l13709.htm" \l "art16" </w:instrText>
      </w:r>
      <w:r>
        <w:rPr>
          <w:color w:val="auto"/>
        </w:rPr>
        <w:fldChar w:fldCharType="separate"/>
      </w:r>
      <w:r>
        <w:rPr>
          <w:rFonts w:ascii="Arial" w:hAnsi="Arial" w:cs="Arial"/>
          <w:bCs/>
          <w:iCs/>
          <w:color w:val="auto"/>
          <w:lang w:val="pt-BR"/>
        </w:rPr>
        <w:t>art. 16 da LGPD</w:t>
      </w:r>
      <w:r>
        <w:rPr>
          <w:rFonts w:ascii="Arial" w:hAnsi="Arial" w:cs="Arial"/>
          <w:bCs/>
          <w:iCs/>
          <w:color w:val="auto"/>
          <w:lang w:val="pt-BR"/>
        </w:rPr>
        <w:fldChar w:fldCharType="end"/>
      </w:r>
      <w:r>
        <w:rPr>
          <w:rFonts w:ascii="Arial" w:hAnsi="Arial" w:cs="Arial"/>
          <w:bCs/>
          <w:iCs/>
          <w:color w:val="auto"/>
          <w:lang w:val="pt-BR"/>
        </w:rPr>
        <w:t xml:space="preserve">, incluindo aquelas em que houver necessidade de guarda de documentação para fins de comprovação do cumprimento de obrigações legais ou contratuais e somente enquanto não prescritas essas obrigações. </w:t>
      </w:r>
    </w:p>
    <w:p w14:paraId="324C584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É dever do contratado orientar e treinar seus empregados sobre os deveres, requisitos e responsabilidades decorrentes da LGPD. </w:t>
      </w:r>
    </w:p>
    <w:p w14:paraId="01839E4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O Contratado deverá exigir de suboperadores e subcontratados o cumprimento dos deveres da presente cláusula, permanecendo integralmente responsável por garantir sua observância.</w:t>
      </w:r>
    </w:p>
    <w:p w14:paraId="1DBD5FE4">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O Contratante poderá realizar diligência para aferir o cumprimento dessa cláusula, devendo o Contratado atender prontamente eventuais pedidos de comprovação formulados. </w:t>
      </w:r>
    </w:p>
    <w:p w14:paraId="7BC76CEF">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O Contratado deverá prestar, no prazo fixado pelo Contratante, prorrogável justificadamente, quaisquer informações acerca dos dados pessoais para cumprimento da LGPD, inclusive quanto a eventual descarte realizado. </w:t>
      </w:r>
    </w:p>
    <w:p w14:paraId="56BC39C9">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Bancos de dados formados a partir de contratos administrativos, notadamente aqueles que se proponham a armazenar dados pessoais, devem ser mantidos em ambiente virtual controlado, com registro individual rastreável de tratamentos realizados (</w:t>
      </w:r>
      <w:r>
        <w:rPr>
          <w:color w:val="auto"/>
        </w:rPr>
        <w:fldChar w:fldCharType="begin"/>
      </w:r>
      <w:r>
        <w:rPr>
          <w:color w:val="auto"/>
        </w:rPr>
        <w:instrText xml:space="preserve"> HYPERLINK "https://www.planalto.gov.br/ccivil_03/_ato2015-2018/2018/lei/l13709.htm" </w:instrText>
      </w:r>
      <w:r>
        <w:rPr>
          <w:color w:val="auto"/>
        </w:rPr>
        <w:fldChar w:fldCharType="separate"/>
      </w:r>
      <w:r>
        <w:rPr>
          <w:rFonts w:ascii="Arial" w:hAnsi="Arial" w:cs="Arial"/>
          <w:bCs/>
          <w:iCs/>
          <w:color w:val="auto"/>
          <w:lang w:val="pt-BR"/>
        </w:rPr>
        <w:t>LGPD, art. 37</w:t>
      </w:r>
      <w:r>
        <w:rPr>
          <w:rFonts w:ascii="Arial" w:hAnsi="Arial" w:cs="Arial"/>
          <w:bCs/>
          <w:iCs/>
          <w:color w:val="auto"/>
          <w:lang w:val="pt-BR"/>
        </w:rPr>
        <w:fldChar w:fldCharType="end"/>
      </w:r>
      <w:r>
        <w:rPr>
          <w:rFonts w:ascii="Arial" w:hAnsi="Arial" w:cs="Arial"/>
          <w:bCs/>
          <w:iCs/>
          <w:color w:val="auto"/>
          <w:lang w:val="pt-BR"/>
        </w:rPr>
        <w:t>), com cada acesso, data, horário e registro da finalidade, para efeito de responsabilização, em caso de eventuais omissões, desvios ou abusos.</w:t>
      </w:r>
    </w:p>
    <w:p w14:paraId="180EDED1">
      <w:pPr>
        <w:pStyle w:val="19"/>
        <w:widowControl/>
        <w:numPr>
          <w:ilvl w:val="2"/>
          <w:numId w:val="3"/>
        </w:numPr>
        <w:tabs>
          <w:tab w:val="left" w:pos="993"/>
        </w:tabs>
        <w:autoSpaceDE/>
        <w:autoSpaceDN/>
        <w:spacing w:before="120" w:after="120" w:line="276" w:lineRule="auto"/>
        <w:ind w:left="993" w:hanging="851"/>
        <w:jc w:val="both"/>
        <w:rPr>
          <w:rFonts w:ascii="Arial" w:hAnsi="Arial" w:cs="Arial"/>
          <w:bCs/>
          <w:iCs/>
          <w:color w:val="auto"/>
          <w:lang w:val="pt-BR"/>
        </w:rPr>
      </w:pPr>
      <w:r>
        <w:rPr>
          <w:rFonts w:ascii="Arial" w:hAnsi="Arial" w:cs="Arial"/>
          <w:bCs/>
          <w:iCs/>
          <w:color w:val="auto"/>
          <w:lang w:val="pt-BR"/>
        </w:rPr>
        <w:t>Os referidos bancos de dados devem ser desenvolvidos em formato interoperável, a fim de garantir a reutilização desses dados pela Administração nas hipóteses previstas na LGPD.</w:t>
      </w:r>
    </w:p>
    <w:p w14:paraId="25A14612">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O contrato está sujeito a ser alterado nos procedimentos pertinentes ao tratamento de dados pessoais, quando indicado pela autoridade competente, em especial a ANPD por meio de opiniões técnicas ou recomendações, editadas na forma da LGPD.</w:t>
      </w:r>
    </w:p>
    <w:p w14:paraId="44DA6C91">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color w:val="auto"/>
          <w:lang w:val="pt-BR"/>
        </w:rPr>
      </w:pPr>
      <w:r>
        <w:rPr>
          <w:rFonts w:ascii="Arial" w:hAnsi="Arial" w:cs="Arial"/>
          <w:bCs/>
          <w:iCs/>
          <w:color w:val="auto"/>
          <w:lang w:val="pt-BR"/>
        </w:rPr>
        <w:t xml:space="preserve">Os contratos e convênios de que trata o </w:t>
      </w:r>
      <w:r>
        <w:rPr>
          <w:color w:val="auto"/>
        </w:rPr>
        <w:fldChar w:fldCharType="begin"/>
      </w:r>
      <w:r>
        <w:rPr>
          <w:color w:val="auto"/>
        </w:rPr>
        <w:instrText xml:space="preserve"> HYPERLINK "https://www.planalto.gov.br/ccivil_03/_ato2015-2018/2018/lei/l13709.htm" \l "art26§1" </w:instrText>
      </w:r>
      <w:r>
        <w:rPr>
          <w:color w:val="auto"/>
        </w:rPr>
        <w:fldChar w:fldCharType="separate"/>
      </w:r>
      <w:r>
        <w:rPr>
          <w:rFonts w:ascii="Arial" w:hAnsi="Arial" w:cs="Arial"/>
          <w:bCs/>
          <w:iCs/>
          <w:color w:val="auto"/>
          <w:lang w:val="pt-BR"/>
        </w:rPr>
        <w:t>§ 1º do art. 26 da LGPD</w:t>
      </w:r>
      <w:r>
        <w:rPr>
          <w:rFonts w:ascii="Arial" w:hAnsi="Arial" w:cs="Arial"/>
          <w:bCs/>
          <w:iCs/>
          <w:color w:val="auto"/>
          <w:lang w:val="pt-BR"/>
        </w:rPr>
        <w:fldChar w:fldCharType="end"/>
      </w:r>
      <w:r>
        <w:rPr>
          <w:rFonts w:ascii="Arial" w:hAnsi="Arial" w:cs="Arial"/>
          <w:bCs/>
          <w:iCs/>
          <w:color w:val="auto"/>
          <w:lang w:val="pt-BR"/>
        </w:rPr>
        <w:t xml:space="preserve"> deverão ser comunicados à autoridade nacional.</w:t>
      </w:r>
    </w:p>
    <w:p w14:paraId="4A1CCB10">
      <w:pPr>
        <w:pStyle w:val="19"/>
        <w:widowControl/>
        <w:tabs>
          <w:tab w:val="left" w:pos="426"/>
        </w:tabs>
        <w:autoSpaceDE/>
        <w:autoSpaceDN/>
        <w:spacing w:before="120" w:after="120" w:line="276" w:lineRule="auto"/>
        <w:ind w:left="0"/>
        <w:jc w:val="both"/>
        <w:rPr>
          <w:rFonts w:ascii="Arial" w:hAnsi="Arial" w:cs="Arial"/>
          <w:bCs/>
          <w:iCs/>
          <w:lang w:val="pt-BR"/>
        </w:rPr>
      </w:pPr>
    </w:p>
    <w:p w14:paraId="0AFDC945">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PRIMEIRA– GARANTIA DE EXECUÇÃO (art. 92, XII)</w:t>
      </w:r>
    </w:p>
    <w:p w14:paraId="61A84888">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  Não haverá exigência de garantia contratual da execução.</w:t>
      </w:r>
    </w:p>
    <w:p w14:paraId="69FC214F">
      <w:pPr>
        <w:pStyle w:val="19"/>
        <w:widowControl/>
        <w:tabs>
          <w:tab w:val="left" w:pos="426"/>
        </w:tabs>
        <w:autoSpaceDE/>
        <w:autoSpaceDN/>
        <w:spacing w:before="120" w:after="120" w:line="276" w:lineRule="auto"/>
        <w:ind w:left="0"/>
        <w:jc w:val="both"/>
        <w:rPr>
          <w:rFonts w:ascii="Arial" w:hAnsi="Arial" w:cs="Arial"/>
          <w:bCs/>
          <w:i/>
          <w:color w:val="FF0000"/>
          <w:lang w:val="pt-BR"/>
        </w:rPr>
      </w:pPr>
    </w:p>
    <w:p w14:paraId="18BE2B16">
      <w:pPr>
        <w:pStyle w:val="19"/>
        <w:numPr>
          <w:ilvl w:val="0"/>
          <w:numId w:val="3"/>
        </w:numPr>
        <w:tabs>
          <w:tab w:val="left" w:pos="284"/>
        </w:tabs>
        <w:spacing w:line="276" w:lineRule="auto"/>
        <w:ind w:left="0" w:firstLine="0"/>
        <w:rPr>
          <w:rFonts w:ascii="Arial" w:hAnsi="Arial" w:cs="Arial" w:eastAsiaTheme="majorEastAsia"/>
          <w:b/>
          <w:bCs/>
          <w:lang w:val="pt-BR" w:eastAsia="pt-BR"/>
        </w:rPr>
      </w:pPr>
      <w:r>
        <w:rPr>
          <w:rFonts w:ascii="Arial" w:hAnsi="Arial" w:cs="Arial" w:eastAsiaTheme="majorEastAsia"/>
          <w:b/>
          <w:bCs/>
          <w:lang w:val="pt-BR" w:eastAsia="pt-BR"/>
        </w:rPr>
        <w:t xml:space="preserve"> CLÁUSULA DÉCIMA SEGUNDA – INFRAÇÕES E SANÇÕES ADMINISTRATIVAS (</w:t>
      </w:r>
      <w:r>
        <w:fldChar w:fldCharType="begin"/>
      </w:r>
      <w:r>
        <w:instrText xml:space="preserve"> HYPERLINK "http://www.planalto.gov.br/ccivil_03/_ato2019-2022/2021/lei/L14133.htm" \l "art92" </w:instrText>
      </w:r>
      <w:r>
        <w:fldChar w:fldCharType="separate"/>
      </w:r>
      <w:r>
        <w:rPr>
          <w:rFonts w:ascii="Arial" w:hAnsi="Arial" w:cs="Arial" w:eastAsiaTheme="majorEastAsia"/>
          <w:b/>
          <w:bCs/>
          <w:lang w:val="pt-BR" w:eastAsia="pt-BR"/>
        </w:rPr>
        <w:t>art. 92, XIV</w:t>
      </w:r>
      <w:r>
        <w:rPr>
          <w:rFonts w:ascii="Arial" w:hAnsi="Arial" w:cs="Arial" w:eastAsiaTheme="majorEastAsia"/>
          <w:b/>
          <w:bCs/>
          <w:lang w:val="pt-BR" w:eastAsia="pt-BR"/>
        </w:rPr>
        <w:fldChar w:fldCharType="end"/>
      </w:r>
      <w:r>
        <w:rPr>
          <w:rFonts w:ascii="Arial" w:hAnsi="Arial" w:cs="Arial" w:eastAsiaTheme="majorEastAsia"/>
          <w:b/>
          <w:bCs/>
          <w:lang w:val="pt-BR" w:eastAsia="pt-BR"/>
        </w:rPr>
        <w:t>)</w:t>
      </w:r>
    </w:p>
    <w:p w14:paraId="551EB7A5">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 xml:space="preserve">Comete infração administrativa, nos termos da </w:t>
      </w:r>
      <w:r>
        <w:fldChar w:fldCharType="begin"/>
      </w:r>
      <w:r>
        <w:instrText xml:space="preserve"> HYPERLINK "http://www.planalto.gov.br/ccivil_03/_ato2019-2022/2021/lei/L14133.htm" </w:instrText>
      </w:r>
      <w:r>
        <w:fldChar w:fldCharType="separate"/>
      </w:r>
      <w:r>
        <w:rPr>
          <w:bCs/>
          <w:iCs/>
          <w:lang w:val="pt-BR"/>
        </w:rPr>
        <w:t>Lei nº 14.133, de 2021</w:t>
      </w:r>
      <w:r>
        <w:rPr>
          <w:bCs/>
          <w:iCs/>
          <w:lang w:val="pt-BR"/>
        </w:rPr>
        <w:fldChar w:fldCharType="end"/>
      </w:r>
      <w:r>
        <w:rPr>
          <w:rFonts w:ascii="Arial" w:hAnsi="Arial" w:cs="Arial"/>
          <w:bCs/>
          <w:iCs/>
          <w:lang w:val="pt-BR"/>
        </w:rPr>
        <w:t>, o contratado que:</w:t>
      </w:r>
    </w:p>
    <w:p w14:paraId="15A3833F">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w:t>
      </w:r>
    </w:p>
    <w:p w14:paraId="0DF67A19">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parcial do contrato que cause grave dano à Administração ou ao funcionamento dos serviços públicos ou ao interesse coletivo;</w:t>
      </w:r>
    </w:p>
    <w:p w14:paraId="7BE7395A">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der causa à inexecução total do contrato;</w:t>
      </w:r>
    </w:p>
    <w:p w14:paraId="4735F925">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ensejar o retardamento da execução ou da entrega do objeto da contratação sem motivo justificado;</w:t>
      </w:r>
    </w:p>
    <w:p w14:paraId="278F5D75">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apresentar documentação falsa ou prestar declaração falsa durante a execução do contrato;</w:t>
      </w:r>
    </w:p>
    <w:p w14:paraId="5B8E316F">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praticar ato fraudulento na execução do contrato;</w:t>
      </w:r>
    </w:p>
    <w:p w14:paraId="253DE05D">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comportar-se de modo inidôneo ou cometer fraude de qualquer natureza;</w:t>
      </w:r>
    </w:p>
    <w:p w14:paraId="06D7AE48">
      <w:pPr>
        <w:widowControl/>
        <w:numPr>
          <w:ilvl w:val="2"/>
          <w:numId w:val="4"/>
        </w:numPr>
        <w:suppressAutoHyphens/>
        <w:autoSpaceDE/>
        <w:autoSpaceDN/>
        <w:spacing w:before="120" w:after="120" w:line="276" w:lineRule="auto"/>
        <w:ind w:left="284" w:firstLine="0"/>
        <w:jc w:val="both"/>
        <w:rPr>
          <w:rFonts w:ascii="Arial" w:hAnsi="Arial" w:eastAsia="Arial" w:cs="Arial"/>
        </w:rPr>
      </w:pPr>
      <w:r>
        <w:rPr>
          <w:rFonts w:ascii="Arial" w:hAnsi="Arial" w:eastAsia="Arial" w:cs="Arial"/>
        </w:rPr>
        <w:t xml:space="preserve">praticar ato lesivo previsto no </w:t>
      </w:r>
      <w:r>
        <w:fldChar w:fldCharType="begin"/>
      </w:r>
      <w:r>
        <w:instrText xml:space="preserve"> HYPERLINK "https://www.planalto.gov.br/ccivil_03/_ato2011-2014/2013/lei/l12846.htm" \l "art5" </w:instrText>
      </w:r>
      <w:r>
        <w:fldChar w:fldCharType="separate"/>
      </w:r>
      <w:r>
        <w:rPr>
          <w:rStyle w:val="9"/>
          <w:rFonts w:ascii="Arial" w:hAnsi="Arial" w:eastAsia="Arial" w:cs="Arial"/>
        </w:rPr>
        <w:t>art. 5º da Lei nº 12.846, de 1º de agosto de 2013</w:t>
      </w:r>
      <w:r>
        <w:rPr>
          <w:rStyle w:val="9"/>
          <w:rFonts w:ascii="Arial" w:hAnsi="Arial" w:eastAsia="Arial" w:cs="Arial"/>
        </w:rPr>
        <w:fldChar w:fldCharType="end"/>
      </w:r>
      <w:r>
        <w:rPr>
          <w:rFonts w:ascii="Arial" w:hAnsi="Arial" w:eastAsia="Arial" w:cs="Arial"/>
        </w:rPr>
        <w:t>.</w:t>
      </w:r>
    </w:p>
    <w:p w14:paraId="38E0460C">
      <w:pPr>
        <w:pStyle w:val="19"/>
        <w:widowControl/>
        <w:numPr>
          <w:ilvl w:val="1"/>
          <w:numId w:val="3"/>
        </w:numPr>
        <w:tabs>
          <w:tab w:val="left" w:pos="426"/>
        </w:tabs>
        <w:autoSpaceDE/>
        <w:autoSpaceDN/>
        <w:spacing w:before="120" w:after="120" w:line="276" w:lineRule="auto"/>
        <w:ind w:left="0" w:firstLine="0"/>
        <w:jc w:val="both"/>
        <w:rPr>
          <w:rFonts w:ascii="Arial" w:hAnsi="Arial" w:cs="Arial"/>
          <w:bCs/>
          <w:iCs/>
          <w:lang w:val="pt-BR"/>
        </w:rPr>
      </w:pPr>
      <w:r>
        <w:rPr>
          <w:rFonts w:ascii="Arial" w:hAnsi="Arial" w:cs="Arial"/>
          <w:bCs/>
          <w:iCs/>
          <w:lang w:val="pt-BR"/>
        </w:rPr>
        <w:t>Serão aplicadas ao contratado que incorrer nas infrações acima descritas as seguintes sanções:</w:t>
      </w:r>
    </w:p>
    <w:p w14:paraId="74A0C640">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Advertência</w:t>
      </w:r>
      <w:r>
        <w:rPr>
          <w:rFonts w:ascii="Arial" w:hAnsi="Arial" w:eastAsia="Arial" w:cs="Arial"/>
        </w:rPr>
        <w:t>, quando o contratado der causa à inexecução parcial do contrato, sempre que não se justificar a imposição de penalidade mais grave (</w:t>
      </w:r>
      <w:r>
        <w:fldChar w:fldCharType="begin"/>
      </w:r>
      <w:r>
        <w:instrText xml:space="preserve"> HYPERLINK "http://www.planalto.gov.br/ccivil_03/_ato2019-2022/2021/lei/L14133.htm" \l "art156§2" </w:instrText>
      </w:r>
      <w:r>
        <w:fldChar w:fldCharType="separate"/>
      </w:r>
      <w:r>
        <w:rPr>
          <w:rStyle w:val="9"/>
          <w:rFonts w:ascii="Arial" w:hAnsi="Arial" w:eastAsia="Arial" w:cs="Arial"/>
        </w:rPr>
        <w:t xml:space="preserve">art. 156, §2º, da </w:t>
      </w:r>
      <w:bookmarkStart w:id="4" w:name="_Hlk114504069"/>
      <w:r>
        <w:rPr>
          <w:rStyle w:val="9"/>
          <w:rFonts w:ascii="Arial" w:hAnsi="Arial" w:eastAsia="Arial" w:cs="Arial"/>
        </w:rPr>
        <w:t>Lei nº 14.133, de 2021</w:t>
      </w:r>
      <w:bookmarkEnd w:id="4"/>
      <w:r>
        <w:rPr>
          <w:rStyle w:val="9"/>
          <w:rFonts w:ascii="Arial" w:hAnsi="Arial" w:eastAsia="Arial" w:cs="Arial"/>
        </w:rPr>
        <w:fldChar w:fldCharType="end"/>
      </w:r>
      <w:r>
        <w:rPr>
          <w:rFonts w:ascii="Arial" w:hAnsi="Arial" w:eastAsia="Arial" w:cs="Arial"/>
        </w:rPr>
        <w:t>);</w:t>
      </w:r>
    </w:p>
    <w:p w14:paraId="59B3B5CD">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Impedimento de licitar e contratar</w:t>
      </w:r>
      <w:r>
        <w:rPr>
          <w:rFonts w:ascii="Arial" w:hAnsi="Arial" w:eastAsia="Arial" w:cs="Arial"/>
        </w:rPr>
        <w:t>, quando praticadas as condutas descritas nas alíneas “b”, “c” e “d” do subitem acima deste Contrato, sempre que não se justificar a imposição de penalidade mais grave (</w:t>
      </w:r>
      <w:r>
        <w:fldChar w:fldCharType="begin"/>
      </w:r>
      <w:r>
        <w:instrText xml:space="preserve"> HYPERLINK "http://www.planalto.gov.br/ccivil_03/_ato2019-2022/2021/lei/L14133.htm" \l "art156§4" </w:instrText>
      </w:r>
      <w:r>
        <w:fldChar w:fldCharType="separate"/>
      </w:r>
      <w:r>
        <w:rPr>
          <w:rStyle w:val="9"/>
          <w:rFonts w:ascii="Arial" w:hAnsi="Arial" w:eastAsia="Arial" w:cs="Arial"/>
        </w:rPr>
        <w:t>art. 156, § 4º, da Lei nº 14.133, de 2021</w:t>
      </w:r>
      <w:r>
        <w:rPr>
          <w:rStyle w:val="9"/>
          <w:rFonts w:ascii="Arial" w:hAnsi="Arial" w:eastAsia="Arial" w:cs="Arial"/>
        </w:rPr>
        <w:fldChar w:fldCharType="end"/>
      </w:r>
      <w:r>
        <w:rPr>
          <w:rFonts w:ascii="Arial" w:hAnsi="Arial" w:eastAsia="Arial" w:cs="Arial"/>
        </w:rPr>
        <w:t>);</w:t>
      </w:r>
    </w:p>
    <w:p w14:paraId="685C8295">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Declaração de inidoneidade para licitar e contratar</w:t>
      </w:r>
      <w:r>
        <w:rPr>
          <w:rFonts w:ascii="Arial" w:hAnsi="Arial" w:eastAsia="Arial" w:cs="Arial"/>
        </w:rPr>
        <w:t>, quando praticadas as condutas descritas nas alíneas “e”, “f”, “g” e “h” do subitem acima deste Contrato, bem como nas alíneas “b”, “c” e “d”, que justifiquem a imposição de penalidade mais grave (</w:t>
      </w:r>
      <w:r>
        <w:fldChar w:fldCharType="begin"/>
      </w:r>
      <w:r>
        <w:instrText xml:space="preserve"> HYPERLINK "http://www.planalto.gov.br/ccivil_03/_ato2019-2022/2021/lei/L14133.htm" \l "art156§5" </w:instrText>
      </w:r>
      <w:r>
        <w:fldChar w:fldCharType="separate"/>
      </w:r>
      <w:r>
        <w:rPr>
          <w:rStyle w:val="9"/>
          <w:rFonts w:ascii="Arial" w:hAnsi="Arial" w:eastAsia="Arial" w:cs="Arial"/>
        </w:rPr>
        <w:t>art. 156, §5º, da Lei nº 14.133, de 2021</w:t>
      </w:r>
      <w:r>
        <w:rPr>
          <w:rStyle w:val="9"/>
          <w:rFonts w:ascii="Arial" w:hAnsi="Arial" w:eastAsia="Arial" w:cs="Arial"/>
        </w:rPr>
        <w:fldChar w:fldCharType="end"/>
      </w:r>
      <w:r>
        <w:rPr>
          <w:rFonts w:ascii="Arial" w:hAnsi="Arial" w:eastAsia="Arial" w:cs="Arial"/>
        </w:rPr>
        <w:t>).</w:t>
      </w:r>
    </w:p>
    <w:p w14:paraId="67F8926D">
      <w:pPr>
        <w:pStyle w:val="19"/>
        <w:widowControl/>
        <w:numPr>
          <w:ilvl w:val="0"/>
          <w:numId w:val="5"/>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b/>
          <w:bCs/>
        </w:rPr>
        <w:t xml:space="preserve"> Multa:</w:t>
      </w:r>
    </w:p>
    <w:p w14:paraId="2EA2F736">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Moratória de 0,5 % (</w:t>
      </w:r>
      <w:r>
        <w:rPr>
          <w:rFonts w:ascii="Arial" w:hAnsi="Arial" w:eastAsia="Arial" w:cs="Arial"/>
          <w:i/>
          <w:iCs/>
        </w:rPr>
        <w:t>cinco décimos por cento</w:t>
      </w:r>
      <w:r>
        <w:rPr>
          <w:rFonts w:ascii="Arial" w:hAnsi="Arial" w:eastAsia="Arial" w:cs="Arial"/>
        </w:rPr>
        <w:t>) por dia de atraso injustificado sobre o valor da parcela inadimplida, até o limite de 20 (vinte) dias;</w:t>
      </w:r>
    </w:p>
    <w:p w14:paraId="45721205">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i/>
          <w:iCs/>
        </w:rPr>
        <w:t>Moratória de 0,5% (cinco décimos por cento) por dia de atraso injustificado sobre o valor total do contrato, até o máximo de 10% (dez por cento), pela inobservância do prazo fixado para apresentação, suplementação ou reposição da garantia.</w:t>
      </w:r>
    </w:p>
    <w:p w14:paraId="3699AC8D">
      <w:pPr>
        <w:pStyle w:val="19"/>
        <w:widowControl/>
        <w:numPr>
          <w:ilvl w:val="2"/>
          <w:numId w:val="5"/>
        </w:numPr>
        <w:suppressAutoHyphens/>
        <w:autoSpaceDE/>
        <w:autoSpaceDN/>
        <w:spacing w:before="120" w:after="120" w:line="276" w:lineRule="auto"/>
        <w:ind w:left="851" w:firstLine="0"/>
        <w:contextualSpacing/>
        <w:jc w:val="both"/>
        <w:rPr>
          <w:rFonts w:ascii="Arial" w:hAnsi="Arial" w:eastAsia="Arial" w:cs="Arial"/>
        </w:rPr>
      </w:pPr>
      <w:r>
        <w:rPr>
          <w:rFonts w:ascii="Arial" w:hAnsi="Arial" w:eastAsia="Arial" w:cs="Arial"/>
          <w:i/>
          <w:iCs/>
        </w:rPr>
        <w:t xml:space="preserve">O atraso superior a 20 (vinte) dias autoriza a Administração a promover a extinção do contrato por descumprimento ou cumprimento irregular de suas cláusulas, conforme dispõe o inciso I do art. 137 da Lei n. 14.133, de 2021. </w:t>
      </w:r>
    </w:p>
    <w:p w14:paraId="2EF68F11">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Compensatória, para as infrações descritas nas alíneas “e” a “h” do subitem 12.1, de 15% a 30% do valor do Contrato.</w:t>
      </w:r>
    </w:p>
    <w:p w14:paraId="5C30EEC6">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 xml:space="preserve">Compensatória, para a inexecução total do contrato prevista na alínea “c” do subitem 12.1, de 15%  do valor do Contrato. </w:t>
      </w:r>
    </w:p>
    <w:p w14:paraId="0CF6E585">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infração descrita na alínea “b” do subitem 12.1, a multa será de 15%  do valor do Contrato.</w:t>
      </w:r>
    </w:p>
    <w:p w14:paraId="664C75B0">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infrações descritas na alínea “d” do subitem 12.1, a multa será de 5% a 10%  do valor do Contrato.</w:t>
      </w:r>
    </w:p>
    <w:p w14:paraId="1CB7EB40">
      <w:pPr>
        <w:pStyle w:val="19"/>
        <w:widowControl/>
        <w:numPr>
          <w:ilvl w:val="1"/>
          <w:numId w:val="5"/>
        </w:numPr>
        <w:suppressAutoHyphens/>
        <w:autoSpaceDE/>
        <w:autoSpaceDN/>
        <w:spacing w:before="120" w:after="120" w:line="276" w:lineRule="auto"/>
        <w:ind w:left="567" w:firstLine="0"/>
        <w:contextualSpacing/>
        <w:jc w:val="both"/>
        <w:rPr>
          <w:rFonts w:ascii="Arial" w:hAnsi="Arial" w:eastAsia="Arial" w:cs="Arial"/>
        </w:rPr>
      </w:pPr>
      <w:r>
        <w:rPr>
          <w:rFonts w:ascii="Arial" w:hAnsi="Arial" w:eastAsia="Arial" w:cs="Arial"/>
        </w:rPr>
        <w:t>Para a infração descrita na alínea “a” do subitem 12.1, a multa será de 05% a 15% do valor do Contrato, ressalvadas as seguintes infrações:</w:t>
      </w:r>
    </w:p>
    <w:p w14:paraId="78D82C08">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A aplicação das sanções previstas neste Contrato não exclui, em hipótese alguma, a obrigação de reparação integral do dano causado ao Contratante</w:t>
      </w:r>
      <w:r>
        <w:t xml:space="preserve"> (</w:t>
      </w:r>
      <w:r>
        <w:fldChar w:fldCharType="begin"/>
      </w:r>
      <w:r>
        <w:instrText xml:space="preserve"> HYPERLINK "http://www.planalto.gov.br/ccivil_03/_ato2019-2022/2021/lei/L14133.htm" \l "art156§9" </w:instrText>
      </w:r>
      <w:r>
        <w:fldChar w:fldCharType="separate"/>
      </w:r>
      <w:r>
        <w:rPr>
          <w:rStyle w:val="9"/>
        </w:rPr>
        <w:t>art. 156, §9º, da Lei nº 14.133, de 2021</w:t>
      </w:r>
      <w:r>
        <w:rPr>
          <w:rStyle w:val="9"/>
        </w:rPr>
        <w:fldChar w:fldCharType="end"/>
      </w:r>
      <w:r>
        <w:t>)</w:t>
      </w:r>
    </w:p>
    <w:p w14:paraId="0696B1BC">
      <w:pPr>
        <w:pStyle w:val="19"/>
        <w:widowControl/>
        <w:numPr>
          <w:ilvl w:val="2"/>
          <w:numId w:val="3"/>
        </w:numPr>
        <w:tabs>
          <w:tab w:val="left" w:pos="426"/>
        </w:tabs>
        <w:autoSpaceDE/>
        <w:autoSpaceDN/>
        <w:spacing w:before="120" w:after="120" w:line="276" w:lineRule="auto"/>
        <w:jc w:val="both"/>
      </w:pPr>
      <w:r>
        <w:rPr>
          <w:rFonts w:ascii="Arial" w:hAnsi="Arial" w:eastAsia="Arial" w:cs="Arial"/>
        </w:rPr>
        <w:t>Todas as sanções previstas neste Contrato poderão ser aplicadas cumulativamente com a multa</w:t>
      </w:r>
      <w:r>
        <w:t xml:space="preserve"> (</w:t>
      </w:r>
      <w:r>
        <w:fldChar w:fldCharType="begin"/>
      </w:r>
      <w:r>
        <w:instrText xml:space="preserve"> HYPERLINK "http://www.planalto.gov.br/ccivil_03/_ato2019-2022/2021/lei/L14133.htm" \l "art156§7" </w:instrText>
      </w:r>
      <w:r>
        <w:fldChar w:fldCharType="separate"/>
      </w:r>
      <w:r>
        <w:rPr>
          <w:rStyle w:val="9"/>
        </w:rPr>
        <w:t>art. 156, §7º, da Lei nº 14.133, de 2021</w:t>
      </w:r>
      <w:r>
        <w:rPr>
          <w:rStyle w:val="9"/>
        </w:rPr>
        <w:fldChar w:fldCharType="end"/>
      </w:r>
      <w:r>
        <w:t>).</w:t>
      </w:r>
    </w:p>
    <w:p w14:paraId="6FD895BC">
      <w:pPr>
        <w:pStyle w:val="19"/>
        <w:widowControl/>
        <w:numPr>
          <w:ilvl w:val="2"/>
          <w:numId w:val="3"/>
        </w:numPr>
        <w:tabs>
          <w:tab w:val="left" w:pos="426"/>
        </w:tabs>
        <w:autoSpaceDE/>
        <w:autoSpaceDN/>
        <w:spacing w:before="120" w:after="120" w:line="276" w:lineRule="auto"/>
        <w:jc w:val="both"/>
      </w:pPr>
      <w:r>
        <w:rPr>
          <w:rFonts w:ascii="Arial" w:hAnsi="Arial" w:eastAsia="Arial" w:cs="Arial"/>
        </w:rPr>
        <w:t>Antes da aplicação da multa será facultada a defesa do interessado no prazo de 15 (quinze) dias úteis, contado da data de sua intimação</w:t>
      </w:r>
      <w:r>
        <w:t xml:space="preserve"> (</w:t>
      </w:r>
      <w:r>
        <w:fldChar w:fldCharType="begin"/>
      </w:r>
      <w:r>
        <w:instrText xml:space="preserve"> HYPERLINK "http://www.planalto.gov.br/ccivil_03/_ato2019-2022/2021/lei/L14133.htm" \l "art157" </w:instrText>
      </w:r>
      <w:r>
        <w:fldChar w:fldCharType="separate"/>
      </w:r>
      <w:r>
        <w:rPr>
          <w:rStyle w:val="9"/>
        </w:rPr>
        <w:t>art. 157, da Lei nº 14.133, de 2021</w:t>
      </w:r>
      <w:r>
        <w:rPr>
          <w:rStyle w:val="9"/>
        </w:rPr>
        <w:fldChar w:fldCharType="end"/>
      </w:r>
      <w:r>
        <w:t>)</w:t>
      </w:r>
    </w:p>
    <w:p w14:paraId="196DAF77">
      <w:pPr>
        <w:pStyle w:val="19"/>
        <w:widowControl/>
        <w:numPr>
          <w:ilvl w:val="2"/>
          <w:numId w:val="3"/>
        </w:numPr>
        <w:tabs>
          <w:tab w:val="left" w:pos="426"/>
        </w:tabs>
        <w:autoSpaceDE/>
        <w:autoSpaceDN/>
        <w:spacing w:before="120" w:after="120" w:line="276" w:lineRule="auto"/>
        <w:jc w:val="both"/>
      </w:pPr>
      <w:r>
        <w:rPr>
          <w:rFonts w:ascii="Arial" w:hAnsi="Arial" w:eastAsia="Arial" w:cs="Arial"/>
        </w:rPr>
        <w:t>Se a multa aplicada e as indenizações cabíveis forem superiores ao valor do pagamento eventualmente devido pelo Contratante ao Contratado, além da perda desse valor, a diferença será descontada da garantia prestada ou será cobrada judicialmente</w:t>
      </w:r>
      <w:r>
        <w:t xml:space="preserve"> (</w:t>
      </w:r>
      <w:r>
        <w:fldChar w:fldCharType="begin"/>
      </w:r>
      <w:r>
        <w:instrText xml:space="preserve"> HYPERLINK "http://www.planalto.gov.br/ccivil_03/_ato2019-2022/2021/lei/L14133.htm" \l "art156§8" </w:instrText>
      </w:r>
      <w:r>
        <w:fldChar w:fldCharType="separate"/>
      </w:r>
      <w:r>
        <w:rPr>
          <w:rStyle w:val="9"/>
        </w:rPr>
        <w:t>art. 156, §8º, da Lei nº 14.133, de 2021</w:t>
      </w:r>
      <w:r>
        <w:rPr>
          <w:rStyle w:val="9"/>
        </w:rPr>
        <w:fldChar w:fldCharType="end"/>
      </w:r>
      <w:r>
        <w:t>).</w:t>
      </w:r>
    </w:p>
    <w:p w14:paraId="3CF65A44">
      <w:pPr>
        <w:pStyle w:val="19"/>
        <w:widowControl/>
        <w:numPr>
          <w:ilvl w:val="2"/>
          <w:numId w:val="3"/>
        </w:numPr>
        <w:tabs>
          <w:tab w:val="left" w:pos="426"/>
        </w:tabs>
        <w:autoSpaceDE/>
        <w:autoSpaceDN/>
        <w:spacing w:before="120" w:after="120" w:line="276" w:lineRule="auto"/>
        <w:jc w:val="both"/>
        <w:rPr>
          <w:rFonts w:ascii="Arial" w:hAnsi="Arial" w:eastAsia="Arial" w:cs="Arial"/>
        </w:rPr>
      </w:pPr>
      <w:r>
        <w:rPr>
          <w:rFonts w:ascii="Arial" w:hAnsi="Arial" w:eastAsia="Arial" w:cs="Arial"/>
        </w:rPr>
        <w:t>Previamente ao encaminhamento à cobrança judicial, a multa poderá ser recolhida administrativamente no prazo máximo de 30 (trinta) dias, a contar da data do recebimento da comunicação enviada pela autoridade competente.</w:t>
      </w:r>
    </w:p>
    <w:p w14:paraId="2D14DC75">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A aplicação das sanções realizar-se-á em processo administrativo que assegure o contraditório e a ampla defesa ao Contratado, observando-se o procedimento previsto no</w:t>
      </w:r>
      <w:r>
        <w:t xml:space="preserve"> </w:t>
      </w:r>
      <w:r>
        <w:rPr>
          <w:rFonts w:ascii="Arial" w:hAnsi="Arial" w:eastAsia="Arial" w:cs="Arial"/>
          <w:b/>
          <w:bCs/>
        </w:rPr>
        <w:t>caput</w:t>
      </w:r>
      <w:r>
        <w:rPr>
          <w:rFonts w:ascii="Arial" w:hAnsi="Arial" w:eastAsia="Arial" w:cs="Arial"/>
        </w:rPr>
        <w:t xml:space="preserve"> e parágrafos do</w:t>
      </w:r>
      <w:r>
        <w:t xml:space="preserve"> </w:t>
      </w:r>
      <w:r>
        <w:fldChar w:fldCharType="begin"/>
      </w:r>
      <w:r>
        <w:instrText xml:space="preserve"> HYPERLINK "http://www.planalto.gov.br/ccivil_03/_ato2019-2022/2021/lei/L14133.htm" \l "art158" </w:instrText>
      </w:r>
      <w:r>
        <w:fldChar w:fldCharType="separate"/>
      </w:r>
      <w:r>
        <w:rPr>
          <w:rStyle w:val="9"/>
        </w:rPr>
        <w:t>art. 158 da Lei nº 14.133, de 2021</w:t>
      </w:r>
      <w:r>
        <w:rPr>
          <w:rStyle w:val="9"/>
        </w:rPr>
        <w:fldChar w:fldCharType="end"/>
      </w:r>
      <w:r>
        <w:rPr>
          <w:rFonts w:ascii="Arial" w:hAnsi="Arial" w:eastAsia="Arial" w:cs="Arial"/>
        </w:rPr>
        <w:t>, para as penalidades de impedimento de licitar e contratar e de declaração de inidoneidade para licitar ou contratar.</w:t>
      </w:r>
    </w:p>
    <w:p w14:paraId="75A22BAE">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Na aplicação das sanções serão considerados</w:t>
      </w:r>
      <w:r>
        <w:t xml:space="preserve"> (</w:t>
      </w:r>
      <w:r>
        <w:fldChar w:fldCharType="begin"/>
      </w:r>
      <w:r>
        <w:instrText xml:space="preserve"> HYPERLINK "http://www.planalto.gov.br/ccivil_03/_ato2019-2022/2021/lei/L14133.htm" \l "art156§1" </w:instrText>
      </w:r>
      <w:r>
        <w:fldChar w:fldCharType="separate"/>
      </w:r>
      <w:r>
        <w:rPr>
          <w:rStyle w:val="9"/>
        </w:rPr>
        <w:t>art. 156, §1º, da Lei nº 14.133, de 2021</w:t>
      </w:r>
      <w:r>
        <w:rPr>
          <w:rStyle w:val="9"/>
        </w:rPr>
        <w:fldChar w:fldCharType="end"/>
      </w:r>
      <w:r>
        <w:t>):</w:t>
      </w:r>
    </w:p>
    <w:p w14:paraId="0F889FDC">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natureza e a gravidade da infração cometida;</w:t>
      </w:r>
    </w:p>
    <w:p w14:paraId="19290A46">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peculiaridades do caso concreto;</w:t>
      </w:r>
    </w:p>
    <w:p w14:paraId="1193A6F2">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as circunstâncias agravantes ou atenuantes;</w:t>
      </w:r>
    </w:p>
    <w:p w14:paraId="2B858C25">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os danos que dela provierem para o Contratante;</w:t>
      </w:r>
    </w:p>
    <w:p w14:paraId="6065200D">
      <w:pPr>
        <w:widowControl/>
        <w:numPr>
          <w:ilvl w:val="0"/>
          <w:numId w:val="6"/>
        </w:numPr>
        <w:suppressAutoHyphens/>
        <w:autoSpaceDE/>
        <w:autoSpaceDN/>
        <w:spacing w:before="120" w:after="120" w:line="276" w:lineRule="auto"/>
        <w:ind w:left="284" w:firstLine="0"/>
        <w:contextualSpacing/>
        <w:jc w:val="both"/>
        <w:rPr>
          <w:rFonts w:ascii="Arial" w:hAnsi="Arial" w:eastAsia="Arial" w:cs="Arial"/>
        </w:rPr>
      </w:pPr>
      <w:r>
        <w:rPr>
          <w:rFonts w:ascii="Arial" w:hAnsi="Arial" w:eastAsia="Arial" w:cs="Arial"/>
        </w:rPr>
        <w:t>a implantação ou o aperfeiçoamento de programa de integridade, conforme normas e orientações dos órgãos de controle.</w:t>
      </w:r>
    </w:p>
    <w:p w14:paraId="20EE9E19">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Os atos previstos como infrações administrativas na</w:t>
      </w:r>
      <w:r>
        <w:t xml:space="preserve"> </w:t>
      </w:r>
      <w:r>
        <w:fldChar w:fldCharType="begin"/>
      </w:r>
      <w:r>
        <w:instrText xml:space="preserve"> HYPERLINK "http://www.planalto.gov.br/ccivil_03/_ato2019-2022/2021/lei/L14133.htm" </w:instrText>
      </w:r>
      <w:r>
        <w:fldChar w:fldCharType="separate"/>
      </w:r>
      <w:r>
        <w:rPr>
          <w:rStyle w:val="9"/>
        </w:rPr>
        <w:t>Lei nº 14.133, de 2021</w:t>
      </w:r>
      <w:r>
        <w:rPr>
          <w:rStyle w:val="9"/>
        </w:rPr>
        <w:fldChar w:fldCharType="end"/>
      </w:r>
      <w:r>
        <w:rPr>
          <w:rFonts w:ascii="Arial" w:hAnsi="Arial" w:eastAsia="Arial" w:cs="Arial"/>
        </w:rPr>
        <w:t>, ou em outras leis de licitações e contratos da Administração Pública que também sejam tipificados como atos lesivos na</w:t>
      </w:r>
      <w:r>
        <w:t xml:space="preserve"> </w:t>
      </w:r>
      <w:r>
        <w:fldChar w:fldCharType="begin"/>
      </w:r>
      <w:r>
        <w:instrText xml:space="preserve"> HYPERLINK "https://www.planalto.gov.br/ccivil_03/_ato2011-2014/2013/lei/l12846.htm" </w:instrText>
      </w:r>
      <w:r>
        <w:fldChar w:fldCharType="separate"/>
      </w:r>
      <w:r>
        <w:rPr>
          <w:rStyle w:val="9"/>
        </w:rPr>
        <w:t>Lei nº 12.846, de 2013</w:t>
      </w:r>
      <w:r>
        <w:rPr>
          <w:rStyle w:val="9"/>
        </w:rPr>
        <w:fldChar w:fldCharType="end"/>
      </w:r>
      <w:r>
        <w:rPr>
          <w:rFonts w:ascii="Arial" w:hAnsi="Arial" w:eastAsia="Arial" w:cs="Arial"/>
        </w:rPr>
        <w:t>, serão apurados e julgados conjuntamente, nos mesmos autos, observados o rito procedimental e autoridade competente definidos na referida Lei</w:t>
      </w:r>
      <w:r>
        <w:t xml:space="preserve"> (</w:t>
      </w:r>
      <w:r>
        <w:fldChar w:fldCharType="begin"/>
      </w:r>
      <w:r>
        <w:instrText xml:space="preserve"> HYPERLINK "http://www.planalto.gov.br/ccivil_03/_ato2019-2022/2021/lei/L14133.htm%25art159" </w:instrText>
      </w:r>
      <w:r>
        <w:fldChar w:fldCharType="separate"/>
      </w:r>
      <w:r>
        <w:rPr>
          <w:rStyle w:val="9"/>
        </w:rPr>
        <w:t>art. 159</w:t>
      </w:r>
      <w:r>
        <w:rPr>
          <w:rStyle w:val="9"/>
        </w:rPr>
        <w:fldChar w:fldCharType="end"/>
      </w:r>
      <w:r>
        <w:t>).</w:t>
      </w:r>
    </w:p>
    <w:p w14:paraId="7D228B77">
      <w:pPr>
        <w:pStyle w:val="19"/>
        <w:widowControl/>
        <w:numPr>
          <w:ilvl w:val="1"/>
          <w:numId w:val="3"/>
        </w:numPr>
        <w:tabs>
          <w:tab w:val="left" w:pos="426"/>
        </w:tabs>
        <w:autoSpaceDE/>
        <w:autoSpaceDN/>
        <w:spacing w:before="120" w:after="120" w:line="276" w:lineRule="auto"/>
        <w:ind w:left="0" w:firstLine="0"/>
        <w:jc w:val="both"/>
        <w:rPr>
          <w:i/>
          <w:iCs/>
        </w:rPr>
      </w:pPr>
      <w:r>
        <w:rPr>
          <w:rFonts w:ascii="Arial" w:hAnsi="Arial" w:eastAsia="Arial" w:cs="Arial"/>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w:t>
      </w:r>
      <w:r>
        <w:t xml:space="preserve"> (</w:t>
      </w:r>
      <w:r>
        <w:fldChar w:fldCharType="begin"/>
      </w:r>
      <w:r>
        <w:instrText xml:space="preserve"> HYPERLINK "http://www.planalto.gov.br/ccivil_03/_ato2019-2022/2021/lei/L14133.htm" \l "art160" </w:instrText>
      </w:r>
      <w:r>
        <w:fldChar w:fldCharType="separate"/>
      </w:r>
      <w:r>
        <w:rPr>
          <w:rStyle w:val="9"/>
        </w:rPr>
        <w:t>art. 160, da Lei nº 14.133, de 2021</w:t>
      </w:r>
      <w:r>
        <w:rPr>
          <w:rStyle w:val="9"/>
        </w:rPr>
        <w:fldChar w:fldCharType="end"/>
      </w:r>
      <w:r>
        <w:t>).</w:t>
      </w:r>
    </w:p>
    <w:p w14:paraId="302FC6B0">
      <w:pPr>
        <w:pStyle w:val="19"/>
        <w:widowControl/>
        <w:numPr>
          <w:ilvl w:val="1"/>
          <w:numId w:val="3"/>
        </w:numPr>
        <w:tabs>
          <w:tab w:val="left" w:pos="426"/>
        </w:tabs>
        <w:autoSpaceDE/>
        <w:autoSpaceDN/>
        <w:spacing w:before="120" w:after="120" w:line="276" w:lineRule="auto"/>
        <w:ind w:left="0" w:firstLine="0"/>
        <w:jc w:val="both"/>
        <w:rPr>
          <w:i/>
          <w:iCs/>
        </w:rPr>
      </w:pPr>
      <w:r>
        <w:t xml:space="preserve"> </w:t>
      </w:r>
      <w:r>
        <w:rPr>
          <w:rFonts w:ascii="Arial" w:hAnsi="Arial" w:eastAsia="Arial" w:cs="Arial"/>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w:t>
      </w:r>
      <w:r>
        <w:t xml:space="preserve"> (</w:t>
      </w:r>
      <w:r>
        <w:fldChar w:fldCharType="begin"/>
      </w:r>
      <w:r>
        <w:instrText xml:space="preserve"> HYPERLINK "http://www.planalto.gov.br/ccivil_03/_ato2019-2022/2021/lei/L14133.htm" \l "art161" </w:instrText>
      </w:r>
      <w:r>
        <w:fldChar w:fldCharType="separate"/>
      </w:r>
      <w:r>
        <w:rPr>
          <w:rStyle w:val="9"/>
        </w:rPr>
        <w:t>Art. 161, da Lei nº 14.133, de 2021</w:t>
      </w:r>
      <w:r>
        <w:rPr>
          <w:rStyle w:val="9"/>
        </w:rPr>
        <w:fldChar w:fldCharType="end"/>
      </w:r>
      <w:r>
        <w:t>).</w:t>
      </w:r>
    </w:p>
    <w:p w14:paraId="06286B85">
      <w:pPr>
        <w:pStyle w:val="19"/>
        <w:widowControl/>
        <w:numPr>
          <w:ilvl w:val="1"/>
          <w:numId w:val="3"/>
        </w:numPr>
        <w:tabs>
          <w:tab w:val="left" w:pos="426"/>
        </w:tabs>
        <w:autoSpaceDE/>
        <w:autoSpaceDN/>
        <w:spacing w:before="120" w:after="120" w:line="276" w:lineRule="auto"/>
        <w:ind w:left="0" w:firstLine="0"/>
        <w:jc w:val="both"/>
        <w:rPr>
          <w:i/>
          <w:iCs/>
        </w:rPr>
      </w:pPr>
      <w:r>
        <w:rPr>
          <w:rFonts w:ascii="Arial" w:hAnsi="Arial" w:eastAsia="Arial" w:cs="Arial"/>
        </w:rPr>
        <w:t>As sanções de impedimento de licitar e contratar e declaração de inidoneidade para licitar ou contratar são passíveis de reabilitação na forma do</w:t>
      </w:r>
      <w:r>
        <w:t xml:space="preserve"> </w:t>
      </w:r>
      <w:r>
        <w:fldChar w:fldCharType="begin"/>
      </w:r>
      <w:r>
        <w:instrText xml:space="preserve"> HYPERLINK "http://www.planalto.gov.br/ccivil_03/_ato2019-2022/2021/lei/L14133.htm" \l "163" </w:instrText>
      </w:r>
      <w:r>
        <w:fldChar w:fldCharType="separate"/>
      </w:r>
      <w:r>
        <w:rPr>
          <w:rStyle w:val="9"/>
        </w:rPr>
        <w:t>art. 163 da Lei nº 14.133/21</w:t>
      </w:r>
      <w:r>
        <w:rPr>
          <w:rStyle w:val="9"/>
        </w:rPr>
        <w:fldChar w:fldCharType="end"/>
      </w:r>
      <w:r>
        <w:t>.</w:t>
      </w:r>
    </w:p>
    <w:p w14:paraId="533EFEE0">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w:t>
      </w:r>
      <w:r>
        <w:t xml:space="preserve"> </w:t>
      </w:r>
      <w:r>
        <w:fldChar w:fldCharType="begin"/>
      </w:r>
      <w:r>
        <w:instrText xml:space="preserve"> HYPERLINK "https://www.gov.br/compras/pt-br/acesso-a-informacao/legislacao/instrucoes-normativas/instrucao-normativa-seges-me-no-26-de-13-de-abril-de-2022" </w:instrText>
      </w:r>
      <w:r>
        <w:fldChar w:fldCharType="separate"/>
      </w:r>
      <w:r>
        <w:rPr>
          <w:rStyle w:val="9"/>
        </w:rPr>
        <w:t>Normativa SEGES/ME nº 26, de 13 de abril de 2022</w:t>
      </w:r>
      <w:r>
        <w:rPr>
          <w:rStyle w:val="9"/>
        </w:rPr>
        <w:fldChar w:fldCharType="end"/>
      </w:r>
      <w:r>
        <w:t xml:space="preserve">. </w:t>
      </w:r>
    </w:p>
    <w:p w14:paraId="4F6FF8E2">
      <w:pPr>
        <w:pStyle w:val="34"/>
        <w:numPr>
          <w:ilvl w:val="0"/>
          <w:numId w:val="3"/>
        </w:numPr>
        <w:tabs>
          <w:tab w:val="left" w:pos="284"/>
          <w:tab w:val="left" w:pos="993"/>
        </w:tabs>
        <w:spacing w:line="276" w:lineRule="auto"/>
        <w:ind w:left="0" w:firstLine="0"/>
        <w:rPr>
          <w:rFonts w:ascii="Arial" w:hAnsi="Arial" w:cs="Arial"/>
        </w:rPr>
      </w:pPr>
      <w:r>
        <w:rPr>
          <w:rFonts w:ascii="Arial" w:hAnsi="Arial" w:cs="Arial"/>
          <w:sz w:val="22"/>
          <w:szCs w:val="22"/>
        </w:rPr>
        <w:t>- CLÁUSULA DÉCIMA TERCEIRA – DA EXTINÇÃO CONTRATUAL</w:t>
      </w:r>
      <w:r>
        <w:rPr>
          <w:rFonts w:ascii="Arial" w:hAnsi="Arial" w:cs="Arial"/>
        </w:rPr>
        <w:t xml:space="preserve"> (</w:t>
      </w:r>
      <w:r>
        <w:fldChar w:fldCharType="begin"/>
      </w:r>
      <w:r>
        <w:instrText xml:space="preserve"> HYPERLINK "http://www.planalto.gov.br/ccivil_03/_ato2019-2022/2021/lei/L14133.htm" \l "art92" </w:instrText>
      </w:r>
      <w:r>
        <w:fldChar w:fldCharType="separate"/>
      </w:r>
      <w:r>
        <w:rPr>
          <w:rStyle w:val="9"/>
          <w:rFonts w:ascii="Arial" w:hAnsi="Arial" w:cs="Arial"/>
        </w:rPr>
        <w:t>art. 92, XIX</w:t>
      </w:r>
      <w:r>
        <w:rPr>
          <w:rStyle w:val="9"/>
          <w:rFonts w:ascii="Arial" w:hAnsi="Arial" w:cs="Arial"/>
        </w:rPr>
        <w:fldChar w:fldCharType="end"/>
      </w:r>
      <w:r>
        <w:rPr>
          <w:rFonts w:ascii="Arial" w:hAnsi="Arial" w:cs="Arial"/>
        </w:rPr>
        <w:t xml:space="preserve">) </w:t>
      </w:r>
    </w:p>
    <w:p w14:paraId="39B8E4D1">
      <w:pPr>
        <w:pStyle w:val="19"/>
        <w:widowControl/>
        <w:numPr>
          <w:ilvl w:val="1"/>
          <w:numId w:val="3"/>
        </w:numPr>
        <w:tabs>
          <w:tab w:val="left" w:pos="709"/>
        </w:tabs>
        <w:autoSpaceDE/>
        <w:autoSpaceDN/>
        <w:spacing w:before="120" w:after="120" w:line="276" w:lineRule="auto"/>
        <w:ind w:left="0" w:firstLine="0"/>
        <w:jc w:val="both"/>
        <w:rPr>
          <w:rFonts w:ascii="Arial" w:hAnsi="Arial" w:eastAsia="Arial" w:cs="Arial"/>
        </w:rPr>
      </w:pPr>
      <w:r>
        <w:rPr>
          <w:rFonts w:ascii="Arial" w:hAnsi="Arial" w:eastAsia="Arial" w:cs="Arial"/>
        </w:rPr>
        <w:t>O contrato será extinto quando cumpridas as obrigações de ambas as partes, ainda que isso ocorra antes do prazo estipulado para tanto.</w:t>
      </w:r>
    </w:p>
    <w:p w14:paraId="6D994409">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Se as obrigações não forem cumpridas no prazo estipulado, a vigência ficará prorrogada até a conclusão do objeto, caso em que deverá a Administração providenciar a readequação do cronograma fixado para o contrato.</w:t>
      </w:r>
    </w:p>
    <w:p w14:paraId="3C877804">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Quando a não conclusão do contrato referida no item anterior decorrer de culpa do contratado:</w:t>
      </w:r>
    </w:p>
    <w:p w14:paraId="1C97C186">
      <w:pPr>
        <w:pStyle w:val="19"/>
        <w:widowControl/>
        <w:numPr>
          <w:ilvl w:val="1"/>
          <w:numId w:val="7"/>
        </w:numPr>
        <w:tabs>
          <w:tab w:val="left" w:pos="426"/>
        </w:tabs>
        <w:autoSpaceDE/>
        <w:autoSpaceDN/>
        <w:spacing w:before="120" w:after="120" w:line="276" w:lineRule="auto"/>
        <w:ind w:left="709"/>
        <w:jc w:val="both"/>
        <w:rPr>
          <w:rFonts w:ascii="Arial" w:hAnsi="Arial" w:eastAsia="Arial" w:cs="Arial"/>
        </w:rPr>
      </w:pPr>
      <w:r>
        <w:rPr>
          <w:rFonts w:ascii="Arial" w:hAnsi="Arial" w:eastAsia="Arial" w:cs="Arial"/>
        </w:rPr>
        <w:t xml:space="preserve">ficará ele constituído em mora, sendo-lhe aplicáveis as respectivas sanções administrativas; e  </w:t>
      </w:r>
    </w:p>
    <w:p w14:paraId="196241C4">
      <w:pPr>
        <w:pStyle w:val="19"/>
        <w:widowControl/>
        <w:numPr>
          <w:ilvl w:val="1"/>
          <w:numId w:val="7"/>
        </w:numPr>
        <w:tabs>
          <w:tab w:val="left" w:pos="426"/>
        </w:tabs>
        <w:autoSpaceDE/>
        <w:autoSpaceDN/>
        <w:spacing w:before="120" w:after="120" w:line="276" w:lineRule="auto"/>
        <w:ind w:left="709"/>
        <w:jc w:val="both"/>
        <w:rPr>
          <w:rFonts w:ascii="Arial" w:hAnsi="Arial" w:eastAsia="Arial" w:cs="Arial"/>
        </w:rPr>
      </w:pPr>
      <w:r>
        <w:rPr>
          <w:rFonts w:ascii="Arial" w:hAnsi="Arial" w:eastAsia="Arial" w:cs="Arial"/>
        </w:rPr>
        <w:t>poderá a Administração optar pela extinção do contrato e, nesse caso, adotará as medidas admitidas em lei para a continuidade da execução contratual</w:t>
      </w:r>
    </w:p>
    <w:p w14:paraId="6E1BCFDF">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O contrato poderá ser extinto antes de cumpridas as obrigações nele estipuladas, ou antes do prazo nele fixado, por algum dos motivos previstos no</w:t>
      </w:r>
      <w:r>
        <w:t xml:space="preserve"> </w:t>
      </w:r>
      <w:r>
        <w:fldChar w:fldCharType="begin"/>
      </w:r>
      <w:r>
        <w:instrText xml:space="preserve"> HYPERLINK "http://www.planalto.gov.br/ccivil_03/_ato2019-2022/2021/lei/L14133.htm" \l "art137" </w:instrText>
      </w:r>
      <w:r>
        <w:fldChar w:fldCharType="separate"/>
      </w:r>
      <w:r>
        <w:rPr>
          <w:rStyle w:val="9"/>
        </w:rPr>
        <w:t>artigo 137 da Lei nº 14.133/21</w:t>
      </w:r>
      <w:r>
        <w:rPr>
          <w:rStyle w:val="9"/>
        </w:rPr>
        <w:fldChar w:fldCharType="end"/>
      </w:r>
      <w:r>
        <w:rPr>
          <w:rFonts w:ascii="Arial" w:hAnsi="Arial" w:eastAsia="Arial" w:cs="Arial"/>
        </w:rPr>
        <w:t>, bem como amigavelmente, assegurados o contraditório e a ampla defesa.</w:t>
      </w:r>
    </w:p>
    <w:p w14:paraId="78E36853">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 xml:space="preserve">  Nesta hipótese, aplicam-se também os</w:t>
      </w:r>
      <w:r>
        <w:t xml:space="preserve"> </w:t>
      </w:r>
      <w:r>
        <w:fldChar w:fldCharType="begin"/>
      </w:r>
      <w:r>
        <w:instrText xml:space="preserve"> HYPERLINK "http://www.planalto.gov.br/ccivil_03/_ato2019-2022/2021/lei/L14133.htm" \l "art138" </w:instrText>
      </w:r>
      <w:r>
        <w:fldChar w:fldCharType="separate"/>
      </w:r>
      <w:r>
        <w:rPr>
          <w:rStyle w:val="9"/>
        </w:rPr>
        <w:t>artigos 138 e 139</w:t>
      </w:r>
      <w:r>
        <w:rPr>
          <w:rStyle w:val="9"/>
        </w:rPr>
        <w:fldChar w:fldCharType="end"/>
      </w:r>
      <w:r>
        <w:t xml:space="preserve"> </w:t>
      </w:r>
      <w:r>
        <w:rPr>
          <w:rFonts w:ascii="Arial" w:hAnsi="Arial" w:eastAsia="Arial" w:cs="Arial"/>
        </w:rPr>
        <w:t>da mesma Lei.</w:t>
      </w:r>
    </w:p>
    <w:p w14:paraId="0014C7D5">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A alteração social ou a modificação da finalidade ou da estrutura da empresa não ensejará a extinção se não restringir sua capacidade de concluir o contrato.</w:t>
      </w:r>
    </w:p>
    <w:p w14:paraId="06223F81">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Se a operação implicar mudança da pessoa jurídica contratada, deverá ser formalizado termo aditivo para alteração subjetiva.</w:t>
      </w:r>
    </w:p>
    <w:p w14:paraId="07610C4F">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O termo de extinção, sempre que possível, será precedido:</w:t>
      </w:r>
    </w:p>
    <w:p w14:paraId="506C90E7">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Balanço dos eventos contratuais já cumpridos ou parcialmente cumpridos;</w:t>
      </w:r>
    </w:p>
    <w:p w14:paraId="271F1FFA">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Relação dos pagamentos já efetuados e ainda devidos;</w:t>
      </w:r>
    </w:p>
    <w:p w14:paraId="4214F52F">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Indenizações e multas.</w:t>
      </w:r>
    </w:p>
    <w:p w14:paraId="71694173">
      <w:pPr>
        <w:pStyle w:val="19"/>
        <w:widowControl/>
        <w:numPr>
          <w:ilvl w:val="1"/>
          <w:numId w:val="3"/>
        </w:numPr>
        <w:tabs>
          <w:tab w:val="left" w:pos="426"/>
        </w:tabs>
        <w:autoSpaceDE/>
        <w:autoSpaceDN/>
        <w:spacing w:before="120" w:after="120" w:line="276" w:lineRule="auto"/>
        <w:ind w:left="0" w:firstLine="0"/>
        <w:jc w:val="both"/>
      </w:pPr>
      <w:r>
        <w:rPr>
          <w:rFonts w:ascii="Arial" w:hAnsi="Arial" w:eastAsia="Arial" w:cs="Arial"/>
        </w:rPr>
        <w:t>A extinção do contrato não configura óbice para o reconhecimento do desequilíbrio econômico-financeiro, hipótese em que será concedida indenização por meio de termo indenizatório</w:t>
      </w:r>
      <w:r>
        <w:t xml:space="preserve"> (</w:t>
      </w:r>
      <w:r>
        <w:fldChar w:fldCharType="begin"/>
      </w:r>
      <w:r>
        <w:instrText xml:space="preserve"> HYPERLINK "http://www.planalto.gov.br/ccivil_03/_ato2019-2022/2021/lei/L14133.htm" \l "art131" </w:instrText>
      </w:r>
      <w:r>
        <w:fldChar w:fldCharType="separate"/>
      </w:r>
      <w:r>
        <w:rPr>
          <w:rStyle w:val="9"/>
        </w:rPr>
        <w:t xml:space="preserve">art. 131, </w:t>
      </w:r>
      <w:r>
        <w:rPr>
          <w:rStyle w:val="9"/>
          <w:i/>
          <w:iCs/>
        </w:rPr>
        <w:t xml:space="preserve">caput, </w:t>
      </w:r>
      <w:r>
        <w:rPr>
          <w:rStyle w:val="9"/>
        </w:rPr>
        <w:t>da Lei n.º 14.133, de 2021).</w:t>
      </w:r>
      <w:r>
        <w:rPr>
          <w:rStyle w:val="9"/>
        </w:rPr>
        <w:fldChar w:fldCharType="end"/>
      </w:r>
      <w:r>
        <w:t xml:space="preserve"> </w:t>
      </w:r>
    </w:p>
    <w:p w14:paraId="3B6B52F8">
      <w:pPr>
        <w:pStyle w:val="19"/>
        <w:widowControl/>
        <w:numPr>
          <w:ilvl w:val="1"/>
          <w:numId w:val="3"/>
        </w:numPr>
        <w:tabs>
          <w:tab w:val="left" w:pos="426"/>
        </w:tabs>
        <w:autoSpaceDE/>
        <w:autoSpaceDN/>
        <w:spacing w:before="120" w:after="120" w:line="276" w:lineRule="auto"/>
        <w:ind w:left="0" w:firstLine="0"/>
        <w:jc w:val="both"/>
        <w:rPr>
          <w:rFonts w:ascii="Arial" w:hAnsi="Arial" w:eastAsia="Arial" w:cs="Arial"/>
        </w:rPr>
      </w:pPr>
      <w:r>
        <w:rPr>
          <w:rFonts w:ascii="Arial" w:hAnsi="Arial" w:eastAsia="Arial" w:cs="Arial"/>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EFEFD84">
      <w:pPr>
        <w:pStyle w:val="34"/>
        <w:numPr>
          <w:ilvl w:val="0"/>
          <w:numId w:val="3"/>
        </w:numPr>
        <w:tabs>
          <w:tab w:val="left" w:pos="284"/>
          <w:tab w:val="left" w:pos="993"/>
        </w:tabs>
        <w:spacing w:line="276" w:lineRule="auto"/>
        <w:ind w:left="0" w:firstLine="0"/>
      </w:pPr>
      <w:r>
        <w:rPr>
          <w:rFonts w:ascii="Arial" w:hAnsi="Arial" w:cs="Arial"/>
          <w:sz w:val="22"/>
          <w:szCs w:val="22"/>
        </w:rPr>
        <w:t xml:space="preserve"> CLÁUSULA DÉCIMA QUARTA – DOTAÇÃO ORÇAMENTÁRIA</w:t>
      </w:r>
      <w:r>
        <w:t xml:space="preserve"> </w:t>
      </w:r>
      <w:r>
        <w:rPr>
          <w:sz w:val="22"/>
          <w:szCs w:val="22"/>
        </w:rPr>
        <w:t>(</w:t>
      </w:r>
      <w:r>
        <w:fldChar w:fldCharType="begin"/>
      </w:r>
      <w:r>
        <w:instrText xml:space="preserve"> HYPERLINK "http://www.planalto.gov.br/ccivil_03/_ato2019-2022/2021/lei/L14133.htm" \l "art92" </w:instrText>
      </w:r>
      <w:r>
        <w:fldChar w:fldCharType="separate"/>
      </w:r>
      <w:r>
        <w:rPr>
          <w:rStyle w:val="9"/>
          <w:sz w:val="22"/>
          <w:szCs w:val="22"/>
        </w:rPr>
        <w:t>art. 92, VIII</w:t>
      </w:r>
      <w:r>
        <w:rPr>
          <w:rStyle w:val="9"/>
          <w:sz w:val="22"/>
          <w:szCs w:val="22"/>
        </w:rPr>
        <w:fldChar w:fldCharType="end"/>
      </w:r>
      <w:r>
        <w:rPr>
          <w:sz w:val="22"/>
          <w:szCs w:val="22"/>
        </w:rPr>
        <w:t>)</w:t>
      </w:r>
    </w:p>
    <w:p w14:paraId="764FA037">
      <w:pPr>
        <w:pStyle w:val="34"/>
        <w:numPr>
          <w:ilvl w:val="1"/>
          <w:numId w:val="3"/>
        </w:numPr>
        <w:tabs>
          <w:tab w:val="left" w:pos="0"/>
          <w:tab w:val="left" w:pos="993"/>
        </w:tabs>
        <w:spacing w:line="276" w:lineRule="auto"/>
        <w:ind w:left="0" w:leftChars="0" w:firstLine="0" w:firstLineChars="0"/>
        <w:rPr>
          <w:rFonts w:hint="default" w:ascii="Arial" w:hAnsi="Arial" w:eastAsia="Arial" w:cs="Arial"/>
          <w:b w:val="0"/>
          <w:bCs w:val="0"/>
          <w:sz w:val="22"/>
          <w:szCs w:val="22"/>
          <w:lang w:val="pt-BR" w:eastAsia="en-US" w:bidi="ar-SA"/>
        </w:rPr>
      </w:pPr>
      <w:r>
        <w:rPr>
          <w:rFonts w:hint="default" w:ascii="Arial" w:hAnsi="Arial" w:eastAsia="Arial" w:cs="Arial"/>
          <w:b w:val="0"/>
          <w:bCs w:val="0"/>
          <w:sz w:val="22"/>
          <w:szCs w:val="22"/>
          <w:lang w:val="pt-BR" w:eastAsia="en-US" w:bidi="ar-SA"/>
        </w:rPr>
        <w:t>As despesas decorrentes da presente contratação correrão à conta de recursos específicos consignados no Orçamento do Município, na forma abaixo:</w:t>
      </w:r>
    </w:p>
    <w:p w14:paraId="0ED7AF62">
      <w:pPr>
        <w:pStyle w:val="34"/>
        <w:numPr>
          <w:ilvl w:val="0"/>
          <w:numId w:val="0"/>
        </w:numPr>
        <w:tabs>
          <w:tab w:val="left" w:pos="284"/>
          <w:tab w:val="left" w:pos="993"/>
        </w:tabs>
        <w:spacing w:line="276" w:lineRule="auto"/>
        <w:ind w:leftChars="0"/>
        <w:rPr>
          <w:rFonts w:hint="default" w:ascii="Arial" w:hAnsi="Arial" w:eastAsia="Arial" w:cs="Arial"/>
          <w:b w:val="0"/>
          <w:bCs w:val="0"/>
          <w:sz w:val="22"/>
          <w:szCs w:val="22"/>
          <w:lang w:val="pt-BR" w:eastAsia="en-US" w:bidi="ar-SA"/>
        </w:rPr>
      </w:pPr>
      <w:r>
        <w:rPr>
          <w:rFonts w:hint="default" w:ascii="Arial" w:hAnsi="Arial" w:eastAsia="Arial" w:cs="Arial"/>
          <w:b w:val="0"/>
          <w:bCs w:val="0"/>
          <w:sz w:val="22"/>
          <w:szCs w:val="22"/>
          <w:lang w:val="pt-BR" w:eastAsia="en-US" w:bidi="ar-SA"/>
        </w:rPr>
        <w:t>14.1.1. Fonte de Recurso: 1600;</w:t>
      </w:r>
    </w:p>
    <w:p w14:paraId="60E470FA">
      <w:pPr>
        <w:pStyle w:val="34"/>
        <w:numPr>
          <w:ilvl w:val="0"/>
          <w:numId w:val="0"/>
        </w:numPr>
        <w:tabs>
          <w:tab w:val="left" w:pos="284"/>
          <w:tab w:val="left" w:pos="993"/>
        </w:tabs>
        <w:spacing w:line="276" w:lineRule="auto"/>
        <w:ind w:leftChars="0"/>
        <w:rPr>
          <w:rFonts w:hint="default" w:ascii="Arial" w:hAnsi="Arial" w:eastAsia="Arial" w:cs="Arial"/>
          <w:b w:val="0"/>
          <w:bCs w:val="0"/>
          <w:sz w:val="22"/>
          <w:szCs w:val="22"/>
          <w:lang w:val="pt-BR" w:eastAsia="en-US" w:bidi="ar-SA"/>
        </w:rPr>
      </w:pPr>
      <w:r>
        <w:rPr>
          <w:rFonts w:hint="default" w:ascii="Arial" w:hAnsi="Arial" w:eastAsia="Arial" w:cs="Arial"/>
          <w:b w:val="0"/>
          <w:bCs w:val="0"/>
          <w:sz w:val="22"/>
          <w:szCs w:val="22"/>
          <w:lang w:val="pt-BR" w:eastAsia="en-US" w:bidi="ar-SA"/>
        </w:rPr>
        <w:t>14.1.2. Elemento de Despesa: 3.3.90.39.50;</w:t>
      </w:r>
    </w:p>
    <w:p w14:paraId="16132FA4">
      <w:pPr>
        <w:pStyle w:val="34"/>
        <w:numPr>
          <w:ilvl w:val="0"/>
          <w:numId w:val="0"/>
        </w:numPr>
        <w:tabs>
          <w:tab w:val="left" w:pos="284"/>
          <w:tab w:val="left" w:pos="993"/>
        </w:tabs>
        <w:spacing w:line="276" w:lineRule="auto"/>
        <w:ind w:leftChars="0"/>
        <w:rPr>
          <w:rFonts w:hint="default" w:ascii="Arial" w:hAnsi="Arial" w:eastAsia="Arial" w:cs="Arial"/>
          <w:b w:val="0"/>
          <w:bCs w:val="0"/>
          <w:sz w:val="22"/>
          <w:szCs w:val="22"/>
          <w:lang w:val="pt-BR" w:eastAsia="en-US" w:bidi="ar-SA"/>
        </w:rPr>
      </w:pPr>
      <w:r>
        <w:rPr>
          <w:rFonts w:hint="default" w:ascii="Arial" w:hAnsi="Arial" w:eastAsia="Arial" w:cs="Arial"/>
          <w:b w:val="0"/>
          <w:bCs w:val="0"/>
          <w:sz w:val="22"/>
          <w:szCs w:val="22"/>
          <w:lang w:val="pt-BR" w:eastAsia="en-US" w:bidi="ar-SA"/>
        </w:rPr>
        <w:t xml:space="preserve">14.1.3. Programas de Trabalho: Hospital Municipal Raul Sertã – </w:t>
      </w:r>
      <w:r>
        <w:rPr>
          <w:rFonts w:hint="default" w:ascii="Arial" w:hAnsi="Arial" w:eastAsia="Arial" w:cs="Arial"/>
          <w:b/>
          <w:bCs/>
          <w:sz w:val="22"/>
          <w:szCs w:val="22"/>
          <w:lang w:val="pt-BR" w:eastAsia="en-US" w:bidi="ar-SA"/>
        </w:rPr>
        <w:t>36001.10.302.1004.2.141</w:t>
      </w:r>
    </w:p>
    <w:p w14:paraId="732837AB">
      <w:pPr>
        <w:pStyle w:val="34"/>
        <w:numPr>
          <w:ilvl w:val="0"/>
          <w:numId w:val="0"/>
        </w:numPr>
        <w:tabs>
          <w:tab w:val="left" w:pos="284"/>
          <w:tab w:val="left" w:pos="993"/>
        </w:tabs>
        <w:spacing w:line="276" w:lineRule="auto"/>
        <w:ind w:leftChars="0"/>
        <w:rPr>
          <w:rFonts w:hint="default" w:ascii="Arial" w:hAnsi="Arial" w:eastAsia="Arial" w:cs="Arial"/>
          <w:b w:val="0"/>
          <w:bCs w:val="0"/>
          <w:sz w:val="22"/>
          <w:szCs w:val="22"/>
          <w:lang w:val="pt-BR" w:eastAsia="en-US" w:bidi="ar-SA"/>
        </w:rPr>
      </w:pPr>
      <w:r>
        <w:rPr>
          <w:rFonts w:hint="default" w:ascii="Arial" w:hAnsi="Arial" w:eastAsia="Arial" w:cs="Arial"/>
          <w:b w:val="0"/>
          <w:bCs w:val="0"/>
          <w:sz w:val="22"/>
          <w:szCs w:val="22"/>
          <w:lang w:val="pt-BR" w:eastAsia="en-US" w:bidi="ar-SA"/>
        </w:rPr>
        <w:t>14.2. As notas fiscais de serviço deverão ser emitidas em nome do Fundo Municipal de Saúde – CNPJ 11.399.442/0001-79, endereço: Avenida Alberto Braune, 224, 2º andar/sala 221 – Centro/NF-CEP 28613-000.</w:t>
      </w:r>
    </w:p>
    <w:p w14:paraId="0B1CB435">
      <w:pPr>
        <w:pStyle w:val="34"/>
        <w:numPr>
          <w:ilvl w:val="0"/>
          <w:numId w:val="0"/>
        </w:numPr>
        <w:tabs>
          <w:tab w:val="left" w:pos="284"/>
          <w:tab w:val="left" w:pos="993"/>
        </w:tabs>
        <w:spacing w:line="276" w:lineRule="auto"/>
        <w:ind w:leftChars="0"/>
        <w:rPr>
          <w:rFonts w:hint="default" w:ascii="Arial" w:hAnsi="Arial" w:eastAsia="Arial" w:cs="Arial"/>
          <w:b w:val="0"/>
          <w:bCs w:val="0"/>
          <w:sz w:val="22"/>
          <w:szCs w:val="22"/>
          <w:lang w:val="pt-BR" w:eastAsia="en-US" w:bidi="ar-SA"/>
        </w:rPr>
      </w:pPr>
      <w:r>
        <w:rPr>
          <w:rFonts w:hint="default" w:ascii="Arial" w:hAnsi="Arial" w:eastAsia="Arial" w:cs="Arial"/>
          <w:b w:val="0"/>
          <w:bCs w:val="0"/>
          <w:sz w:val="22"/>
          <w:szCs w:val="22"/>
          <w:lang w:val="pt-BR" w:eastAsia="en-US" w:bidi="ar-SA"/>
        </w:rPr>
        <w:t>14.3. A dotação relativa aos exercícios financeiros subsequentes será indicada após aprovação da Lei Orçamentária respectiva e liberação dos créditos correspondentes, mediante apostilamento.</w:t>
      </w:r>
    </w:p>
    <w:p w14:paraId="5D9734BA">
      <w:pPr>
        <w:pStyle w:val="34"/>
        <w:numPr>
          <w:ilvl w:val="0"/>
          <w:numId w:val="0"/>
        </w:numPr>
        <w:tabs>
          <w:tab w:val="left" w:pos="284"/>
          <w:tab w:val="left" w:pos="993"/>
        </w:tabs>
        <w:spacing w:line="276" w:lineRule="auto"/>
        <w:ind w:leftChars="0"/>
        <w:rPr>
          <w:rFonts w:hint="default" w:ascii="Arial" w:hAnsi="Arial" w:eastAsia="Arial" w:cs="Arial"/>
          <w:b w:val="0"/>
          <w:bCs w:val="0"/>
          <w:sz w:val="22"/>
          <w:szCs w:val="22"/>
          <w:lang w:val="pt-BR" w:eastAsia="en-US" w:bidi="ar-SA"/>
        </w:rPr>
      </w:pPr>
    </w:p>
    <w:p w14:paraId="22B2626B">
      <w:pPr>
        <w:pStyle w:val="34"/>
        <w:numPr>
          <w:ilvl w:val="0"/>
          <w:numId w:val="3"/>
        </w:numPr>
        <w:tabs>
          <w:tab w:val="left" w:pos="284"/>
          <w:tab w:val="left" w:pos="993"/>
        </w:tabs>
        <w:spacing w:line="276" w:lineRule="auto"/>
        <w:ind w:left="0" w:firstLine="0"/>
        <w:rPr>
          <w:rFonts w:ascii="Arial" w:hAnsi="Arial" w:cs="Arial"/>
          <w:color w:val="FFFFFF" w:themeColor="background1"/>
          <w14:textFill>
            <w14:solidFill>
              <w14:schemeClr w14:val="bg1"/>
            </w14:solidFill>
          </w14:textFill>
        </w:rPr>
      </w:pPr>
      <w:r>
        <w:rPr>
          <w:rFonts w:ascii="Arial" w:hAnsi="Arial" w:cs="Arial"/>
          <w:sz w:val="22"/>
          <w:szCs w:val="22"/>
        </w:rPr>
        <w:t xml:space="preserve"> CLÁUSULA DÉCIMA QUINTA – ALTERAÇÕES</w:t>
      </w:r>
    </w:p>
    <w:p w14:paraId="33E0DA4F">
      <w:pPr>
        <w:pStyle w:val="19"/>
        <w:numPr>
          <w:ilvl w:val="1"/>
          <w:numId w:val="3"/>
        </w:numPr>
        <w:tabs>
          <w:tab w:val="left" w:pos="426"/>
        </w:tabs>
        <w:ind w:left="0" w:firstLine="0"/>
        <w:jc w:val="both"/>
        <w:rPr>
          <w:color w:val="000000"/>
        </w:rPr>
      </w:pPr>
      <w:r>
        <w:rPr>
          <w:rFonts w:ascii="Arial" w:hAnsi="Arial" w:eastAsia="Arial" w:cs="Arial"/>
        </w:rPr>
        <w:t>Eventuais alterações contratuais reger-se-ão pela disciplina dos</w:t>
      </w:r>
      <w:r>
        <w:t xml:space="preserve"> </w:t>
      </w:r>
      <w:r>
        <w:fldChar w:fldCharType="begin"/>
      </w:r>
      <w:r>
        <w:instrText xml:space="preserve"> HYPERLINK "http://www.planalto.gov.br/ccivil_03/_ato2019-2022/2021/lei/L14133.htm" \l "art124" </w:instrText>
      </w:r>
      <w:r>
        <w:fldChar w:fldCharType="separate"/>
      </w:r>
      <w:r>
        <w:rPr>
          <w:rStyle w:val="9"/>
        </w:rPr>
        <w:t>arts. 124 e seguintes da Lei nº 14.133, de 2021</w:t>
      </w:r>
      <w:r>
        <w:rPr>
          <w:rStyle w:val="9"/>
        </w:rPr>
        <w:fldChar w:fldCharType="end"/>
      </w:r>
      <w:r>
        <w:t>.</w:t>
      </w:r>
    </w:p>
    <w:p w14:paraId="1A0C5354">
      <w:pPr>
        <w:pStyle w:val="19"/>
        <w:numPr>
          <w:ilvl w:val="1"/>
          <w:numId w:val="3"/>
        </w:numPr>
        <w:tabs>
          <w:tab w:val="left" w:pos="426"/>
        </w:tabs>
        <w:ind w:left="0" w:firstLine="0"/>
        <w:jc w:val="both"/>
        <w:rPr>
          <w:rFonts w:ascii="Arial" w:hAnsi="Arial" w:eastAsia="Arial" w:cs="Arial"/>
        </w:rPr>
      </w:pPr>
      <w:r>
        <w:rPr>
          <w:rFonts w:ascii="Arial" w:hAnsi="Arial" w:eastAsia="Arial" w:cs="Arial"/>
        </w:rPr>
        <w:t>O contratado é obrigado a aceitar, nas mesmas condições contratuais, os acréscimos ou supressões que se fizerem necessários, até o limite de 25% (vinte e cinco por cento) do valor inicial atualizado do contrato.</w:t>
      </w:r>
    </w:p>
    <w:p w14:paraId="170C6209">
      <w:pPr>
        <w:pStyle w:val="19"/>
        <w:numPr>
          <w:ilvl w:val="1"/>
          <w:numId w:val="3"/>
        </w:numPr>
        <w:tabs>
          <w:tab w:val="left" w:pos="426"/>
        </w:tabs>
        <w:ind w:left="0" w:firstLine="0"/>
        <w:jc w:val="both"/>
        <w:rPr>
          <w:rFonts w:ascii="Arial" w:hAnsi="Arial" w:eastAsia="Arial" w:cs="Arial"/>
        </w:rPr>
      </w:pPr>
      <w:r>
        <w:rPr>
          <w:rFonts w:ascii="Arial" w:hAnsi="Arial" w:eastAsia="Arial" w:cs="Arial"/>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036F411">
      <w:pPr>
        <w:pStyle w:val="19"/>
        <w:numPr>
          <w:ilvl w:val="1"/>
          <w:numId w:val="3"/>
        </w:numPr>
        <w:tabs>
          <w:tab w:val="left" w:pos="426"/>
        </w:tabs>
        <w:ind w:left="0" w:firstLine="0"/>
        <w:jc w:val="both"/>
      </w:pPr>
      <w:r>
        <w:rPr>
          <w:rFonts w:ascii="Arial" w:hAnsi="Arial" w:eastAsia="Arial" w:cs="Arial"/>
        </w:rPr>
        <w:t xml:space="preserve">Registros que não caracterizam alteração do contrato podem ser realizados por simples apostila, dispensada a celebração de termo aditivo, na forma do </w:t>
      </w:r>
      <w:r>
        <w:fldChar w:fldCharType="begin"/>
      </w:r>
      <w:r>
        <w:instrText xml:space="preserve"> HYPERLINK "http://www.planalto.gov.br/ccivil_03/_ato2019-2022/2021/lei/L14133.htm" \l "art136" </w:instrText>
      </w:r>
      <w:r>
        <w:fldChar w:fldCharType="separate"/>
      </w:r>
      <w:r>
        <w:rPr>
          <w:rStyle w:val="9"/>
        </w:rPr>
        <w:t>art. 136 da Lei nº 14.133, de 2021</w:t>
      </w:r>
      <w:r>
        <w:rPr>
          <w:rStyle w:val="9"/>
        </w:rPr>
        <w:fldChar w:fldCharType="end"/>
      </w:r>
      <w:r>
        <w:t>.</w:t>
      </w:r>
    </w:p>
    <w:p w14:paraId="516DF6D1">
      <w:pPr>
        <w:pStyle w:val="19"/>
        <w:widowControl/>
        <w:tabs>
          <w:tab w:val="left" w:pos="426"/>
        </w:tabs>
        <w:autoSpaceDE/>
        <w:autoSpaceDN/>
        <w:spacing w:before="120" w:after="120" w:line="276" w:lineRule="auto"/>
        <w:ind w:left="0"/>
        <w:jc w:val="both"/>
      </w:pPr>
      <w:r>
        <w:rPr>
          <w:rFonts w:ascii="Arial" w:hAnsi="Arial" w:cs="Arial"/>
        </w:rPr>
        <w:t xml:space="preserve"> </w:t>
      </w:r>
    </w:p>
    <w:p w14:paraId="6DB664C3">
      <w:pPr>
        <w:pStyle w:val="44"/>
        <w:numPr>
          <w:ilvl w:val="0"/>
          <w:numId w:val="3"/>
        </w:numPr>
        <w:rPr>
          <w:color w:val="FFFFFF" w:themeColor="background1"/>
          <w:sz w:val="22"/>
          <w:szCs w:val="22"/>
          <w14:textFill>
            <w14:solidFill>
              <w14:schemeClr w14:val="bg1"/>
            </w14:solidFill>
          </w14:textFill>
        </w:rPr>
      </w:pPr>
      <w:r>
        <w:rPr>
          <w:sz w:val="22"/>
          <w:szCs w:val="22"/>
        </w:rPr>
        <w:t>CLÁUSULA DÉCIMA SEXTA – PUBLICAÇÃO</w:t>
      </w:r>
    </w:p>
    <w:p w14:paraId="44A79CB3">
      <w:pPr>
        <w:pStyle w:val="19"/>
        <w:numPr>
          <w:ilvl w:val="1"/>
          <w:numId w:val="3"/>
        </w:numPr>
        <w:tabs>
          <w:tab w:val="left" w:pos="426"/>
        </w:tabs>
        <w:ind w:left="0" w:firstLine="0"/>
        <w:jc w:val="both"/>
      </w:pPr>
      <w:r>
        <w:rPr>
          <w:rFonts w:ascii="Arial" w:hAnsi="Arial" w:eastAsia="Arial" w:cs="Arial"/>
        </w:rPr>
        <w:t>Incumbirá ao contratante divulgar o presente instrumento no Portal Nacional de Contratações Públicas (PNCP), na forma prevista no</w:t>
      </w:r>
      <w:r>
        <w:t xml:space="preserve"> </w:t>
      </w:r>
      <w:r>
        <w:fldChar w:fldCharType="begin"/>
      </w:r>
      <w:r>
        <w:instrText xml:space="preserve"> HYPERLINK "http://www.planalto.gov.br/ccivil_03/_ato2019-2022/2021/lei/L14133.htm" \l "art94" </w:instrText>
      </w:r>
      <w:r>
        <w:fldChar w:fldCharType="separate"/>
      </w:r>
      <w:r>
        <w:rPr>
          <w:rStyle w:val="9"/>
        </w:rPr>
        <w:t>art. 94 da Lei 14.133, de 2021</w:t>
      </w:r>
      <w:r>
        <w:rPr>
          <w:rStyle w:val="9"/>
        </w:rPr>
        <w:fldChar w:fldCharType="end"/>
      </w:r>
      <w:r>
        <w:rPr>
          <w:rFonts w:ascii="Arial" w:hAnsi="Arial" w:eastAsia="Arial" w:cs="Arial"/>
        </w:rPr>
        <w:t>, bem como no respectivo sítio oficial na Internet, em atenção ao art. 91, caput, da Lei n.º 14.133, de 2021, e ao</w:t>
      </w:r>
      <w:r>
        <w:t xml:space="preserve"> </w:t>
      </w:r>
      <w:r>
        <w:fldChar w:fldCharType="begin"/>
      </w:r>
      <w:r>
        <w:instrText xml:space="preserve"> HYPERLINK "https://www.planalto.gov.br/ccivil_03/_ato2011-2014/2011/lei/l12527.htm" \l "art8§2" </w:instrText>
      </w:r>
      <w:r>
        <w:fldChar w:fldCharType="separate"/>
      </w:r>
      <w:r>
        <w:rPr>
          <w:rStyle w:val="9"/>
        </w:rPr>
        <w:t>art. 8º, §2º, da Lei n. 12.527, de 2011</w:t>
      </w:r>
      <w:r>
        <w:rPr>
          <w:rStyle w:val="9"/>
        </w:rPr>
        <w:fldChar w:fldCharType="end"/>
      </w:r>
      <w:r>
        <w:t xml:space="preserve">, c/c </w:t>
      </w:r>
      <w:r>
        <w:fldChar w:fldCharType="begin"/>
      </w:r>
      <w:r>
        <w:instrText xml:space="preserve"> HYPERLINK "https://www.planalto.gov.br/ccivil_03/_ato2011-2014/2012/decreto/d7724.htm" \l "art7§3" </w:instrText>
      </w:r>
      <w:r>
        <w:fldChar w:fldCharType="separate"/>
      </w:r>
      <w:r>
        <w:rPr>
          <w:rStyle w:val="9"/>
        </w:rPr>
        <w:t>art. 7º, §3º, inciso V, do Decreto n. 7.724, de 2012</w:t>
      </w:r>
      <w:r>
        <w:rPr>
          <w:rStyle w:val="9"/>
        </w:rPr>
        <w:fldChar w:fldCharType="end"/>
      </w:r>
      <w:r>
        <w:t>.</w:t>
      </w:r>
    </w:p>
    <w:p w14:paraId="7E9468DA">
      <w:pPr>
        <w:pStyle w:val="19"/>
        <w:tabs>
          <w:tab w:val="left" w:pos="426"/>
        </w:tabs>
        <w:ind w:left="0"/>
        <w:jc w:val="both"/>
      </w:pPr>
    </w:p>
    <w:p w14:paraId="53152555">
      <w:pPr>
        <w:pStyle w:val="44"/>
        <w:numPr>
          <w:ilvl w:val="0"/>
          <w:numId w:val="3"/>
        </w:numPr>
        <w:rPr>
          <w:sz w:val="22"/>
          <w:szCs w:val="22"/>
        </w:rPr>
      </w:pPr>
      <w:r>
        <w:rPr>
          <w:sz w:val="22"/>
          <w:szCs w:val="22"/>
        </w:rPr>
        <w:t>- CLÁUSULA DÉCIMA SÉTIMA– FORO (</w:t>
      </w:r>
      <w:r>
        <w:fldChar w:fldCharType="begin"/>
      </w:r>
      <w:r>
        <w:instrText xml:space="preserve"> HYPERLINK "http://www.planalto.gov.br/ccivil_03/_ato2019-2022/2021/lei/L14133.htm" \l "art92§1" </w:instrText>
      </w:r>
      <w:r>
        <w:fldChar w:fldCharType="separate"/>
      </w:r>
      <w:r>
        <w:rPr>
          <w:rStyle w:val="9"/>
          <w:sz w:val="22"/>
          <w:szCs w:val="22"/>
        </w:rPr>
        <w:t>art. 92, §1º</w:t>
      </w:r>
      <w:r>
        <w:rPr>
          <w:rStyle w:val="9"/>
          <w:sz w:val="22"/>
          <w:szCs w:val="22"/>
        </w:rPr>
        <w:fldChar w:fldCharType="end"/>
      </w:r>
      <w:r>
        <w:rPr>
          <w:sz w:val="22"/>
          <w:szCs w:val="22"/>
        </w:rPr>
        <w:t>)</w:t>
      </w:r>
    </w:p>
    <w:p w14:paraId="3BF6FEC7">
      <w:pPr>
        <w:pStyle w:val="19"/>
        <w:numPr>
          <w:ilvl w:val="1"/>
          <w:numId w:val="3"/>
        </w:numPr>
        <w:tabs>
          <w:tab w:val="left" w:pos="426"/>
        </w:tabs>
        <w:ind w:left="0" w:firstLine="0"/>
        <w:jc w:val="both"/>
        <w:rPr>
          <w:rFonts w:ascii="Arial" w:hAnsi="Arial" w:cs="Arial"/>
          <w:lang w:val="pt-BR"/>
        </w:rPr>
      </w:pPr>
      <w:r>
        <w:rPr>
          <w:rFonts w:ascii="Arial" w:hAnsi="Arial" w:cs="Arial"/>
        </w:rPr>
        <w:t xml:space="preserve">É </w:t>
      </w:r>
      <w:r>
        <w:t>eleito</w:t>
      </w:r>
      <w:r>
        <w:rPr>
          <w:rFonts w:ascii="Arial" w:hAnsi="Arial" w:cs="Arial"/>
        </w:rPr>
        <w:t xml:space="preserve"> o Foro da comarca de Nova Friburgo/RJ para dirimir os litígios que decorrerem da execução deste Termo de Contrato que não possam ser compostos pela conciliação, conforme art. </w:t>
      </w:r>
      <w:r>
        <w:rPr>
          <w:rFonts w:ascii="Arial" w:hAnsi="Arial" w:cs="Arial"/>
          <w:lang w:val="pt-BR"/>
        </w:rPr>
        <w:t>92, §1º da Lei nº 14.133/21.</w:t>
      </w:r>
    </w:p>
    <w:p w14:paraId="3B3D4052">
      <w:pPr>
        <w:pStyle w:val="19"/>
        <w:numPr>
          <w:ilvl w:val="1"/>
          <w:numId w:val="3"/>
        </w:numPr>
        <w:tabs>
          <w:tab w:val="left" w:pos="426"/>
        </w:tabs>
        <w:ind w:left="0" w:firstLine="0"/>
        <w:jc w:val="both"/>
        <w:rPr>
          <w:rFonts w:ascii="Arial" w:hAnsi="Arial" w:cs="Arial"/>
        </w:rPr>
      </w:pPr>
      <w:r>
        <w:rPr>
          <w:rFonts w:ascii="Arial" w:hAnsi="Arial" w:cs="Arial"/>
        </w:rPr>
        <w:t xml:space="preserve">Para firmeza e </w:t>
      </w:r>
      <w:r>
        <w:t>validade</w:t>
      </w:r>
      <w:r>
        <w:rPr>
          <w:rFonts w:ascii="Arial" w:hAnsi="Arial" w:cs="Arial"/>
        </w:rPr>
        <w:t xml:space="preserve"> do pactuado, o presente Termo de Contrato foi lavrado em 03 (três) vias de igual teor, que, depois de lido e achado em ordem, vai assinado pelos contraentes. </w:t>
      </w:r>
    </w:p>
    <w:p w14:paraId="1153DC5A">
      <w:pPr>
        <w:pStyle w:val="19"/>
        <w:tabs>
          <w:tab w:val="left" w:pos="426"/>
        </w:tabs>
        <w:ind w:left="0"/>
        <w:jc w:val="both"/>
        <w:rPr>
          <w:rFonts w:ascii="Arial" w:hAnsi="Arial" w:cs="Arial"/>
        </w:rPr>
      </w:pPr>
    </w:p>
    <w:p w14:paraId="305B7DCC">
      <w:pPr>
        <w:spacing w:after="120" w:line="360" w:lineRule="auto"/>
        <w:ind w:right="-15"/>
        <w:jc w:val="right"/>
        <w:rPr>
          <w:rFonts w:ascii="Arial" w:hAnsi="Arial" w:cs="Arial"/>
        </w:rPr>
      </w:pPr>
      <w:r>
        <w:rPr>
          <w:rFonts w:ascii="Arial" w:hAnsi="Arial" w:cs="Arial"/>
        </w:rPr>
        <w:t>...........................................,  .......... de.......................................... de 2026.</w:t>
      </w:r>
    </w:p>
    <w:p w14:paraId="7B172FC6">
      <w:pPr>
        <w:spacing w:after="120"/>
        <w:jc w:val="center"/>
        <w:rPr>
          <w:rFonts w:ascii="Arial" w:hAnsi="Arial" w:cs="Arial"/>
          <w:bCs/>
        </w:rPr>
      </w:pPr>
    </w:p>
    <w:p w14:paraId="5A761C4F">
      <w:pPr>
        <w:spacing w:after="120"/>
        <w:jc w:val="center"/>
        <w:rPr>
          <w:rFonts w:ascii="Arial" w:hAnsi="Arial" w:cs="Arial"/>
          <w:bCs/>
        </w:rPr>
      </w:pPr>
      <w:r>
        <w:rPr>
          <w:rFonts w:ascii="Arial" w:hAnsi="Arial" w:cs="Arial"/>
          <w:bCs/>
        </w:rPr>
        <w:t>_________________________</w:t>
      </w:r>
    </w:p>
    <w:p w14:paraId="1A18B12A">
      <w:pPr>
        <w:spacing w:after="120"/>
        <w:jc w:val="center"/>
        <w:rPr>
          <w:rFonts w:ascii="Arial" w:hAnsi="Arial" w:cs="Arial"/>
          <w:bCs/>
        </w:rPr>
      </w:pPr>
      <w:r>
        <w:rPr>
          <w:rFonts w:ascii="Arial" w:hAnsi="Arial" w:cs="Arial"/>
          <w:bCs/>
        </w:rPr>
        <w:t>Responsável legal da CONTRATANTE</w:t>
      </w:r>
    </w:p>
    <w:p w14:paraId="2E4263E6">
      <w:pPr>
        <w:spacing w:after="120"/>
        <w:jc w:val="center"/>
        <w:rPr>
          <w:rFonts w:ascii="Arial" w:hAnsi="Arial" w:cs="Arial"/>
        </w:rPr>
      </w:pPr>
    </w:p>
    <w:p w14:paraId="15ACAEAA">
      <w:pPr>
        <w:spacing w:after="120"/>
        <w:jc w:val="center"/>
        <w:rPr>
          <w:rFonts w:ascii="Arial" w:hAnsi="Arial" w:cs="Arial"/>
        </w:rPr>
      </w:pPr>
      <w:r>
        <w:rPr>
          <w:rFonts w:ascii="Arial" w:hAnsi="Arial" w:cs="Arial"/>
        </w:rPr>
        <w:t>_________________________</w:t>
      </w:r>
    </w:p>
    <w:p w14:paraId="0B8C927B">
      <w:pPr>
        <w:spacing w:after="120"/>
        <w:jc w:val="center"/>
        <w:rPr>
          <w:rFonts w:ascii="Arial" w:hAnsi="Arial" w:cs="Arial"/>
        </w:rPr>
      </w:pPr>
      <w:r>
        <w:rPr>
          <w:rFonts w:ascii="Arial" w:hAnsi="Arial" w:cs="Arial"/>
        </w:rPr>
        <w:t>Responsável legal da CONTRATADA</w:t>
      </w:r>
    </w:p>
    <w:p w14:paraId="7DA88E03">
      <w:pPr>
        <w:spacing w:after="120"/>
        <w:jc w:val="both"/>
        <w:rPr>
          <w:rFonts w:ascii="Arial" w:hAnsi="Arial" w:cs="Arial"/>
        </w:rPr>
      </w:pPr>
      <w:r>
        <w:rPr>
          <w:rFonts w:ascii="Arial" w:hAnsi="Arial" w:cs="Arial"/>
        </w:rPr>
        <w:t>TESTEMUNHAS:</w:t>
      </w:r>
    </w:p>
    <w:p w14:paraId="4A9E58C3">
      <w:pPr>
        <w:spacing w:after="120"/>
        <w:jc w:val="both"/>
        <w:rPr>
          <w:rFonts w:ascii="Arial" w:hAnsi="Arial" w:cs="Arial"/>
        </w:rPr>
      </w:pPr>
      <w:r>
        <w:rPr>
          <w:rFonts w:ascii="Arial" w:hAnsi="Arial" w:cs="Arial"/>
        </w:rPr>
        <w:t>1-</w:t>
      </w:r>
    </w:p>
    <w:p w14:paraId="7CA9CA29">
      <w:pPr>
        <w:spacing w:after="120"/>
        <w:jc w:val="both"/>
        <w:rPr>
          <w:rFonts w:ascii="Arial" w:hAnsi="Arial" w:cs="Arial"/>
        </w:rPr>
      </w:pPr>
      <w:r>
        <w:rPr>
          <w:rFonts w:ascii="Arial" w:hAnsi="Arial" w:cs="Arial"/>
        </w:rPr>
        <w:t>2-</w:t>
      </w:r>
    </w:p>
    <w:sectPr>
      <w:headerReference r:id="rId5" w:type="first"/>
      <w:footerReference r:id="rId8" w:type="first"/>
      <w:headerReference r:id="rId3" w:type="default"/>
      <w:footerReference r:id="rId6" w:type="default"/>
      <w:headerReference r:id="rId4" w:type="even"/>
      <w:footerReference r:id="rId7" w:type="even"/>
      <w:pgSz w:w="11910" w:h="16840"/>
      <w:pgMar w:top="1418" w:right="1418" w:bottom="1418" w:left="1418" w:header="64" w:footer="680" w:gutter="0"/>
      <w:cols w:space="720" w:num="1"/>
      <w:docGrid w:linePitch="29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Ecofont_Spranq_eco_Sans">
    <w:altName w:val="Cambria"/>
    <w:panose1 w:val="00000000000000000000"/>
    <w:charset w:val="00"/>
    <w:family w:val="swiss"/>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4002EFF" w:usb1="C000E47F" w:usb2="00000009" w:usb3="00000000" w:csb0="200001FF" w:csb1="00000000"/>
  </w:font>
  <w:font w:name="Azo Sans Md">
    <w:panose1 w:val="02000000000000000000"/>
    <w:charset w:val="00"/>
    <w:family w:val="modern"/>
    <w:pitch w:val="default"/>
    <w:sig w:usb0="00000007" w:usb1="00000000" w:usb2="00000000" w:usb3="00000000" w:csb0="20000093"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5C9DD">
    <w:pPr>
      <w:pStyle w:val="15"/>
      <w:jc w:val="center"/>
      <w:rPr>
        <w:rFonts w:ascii="Azo Sans Md" w:hAnsi="Azo Sans Md"/>
        <w:b/>
        <w:bCs/>
        <w:color w:val="000000"/>
        <w:sz w:val="18"/>
        <w:szCs w:val="18"/>
      </w:rPr>
    </w:pPr>
  </w:p>
  <w:p w14:paraId="2B9BFBFB">
    <w:pPr>
      <w:pStyle w:val="15"/>
      <w:jc w:val="center"/>
      <w:rPr>
        <w:rFonts w:ascii="Arial" w:hAnsi="Arial" w:cs="Arial"/>
        <w:color w:val="000000"/>
        <w:sz w:val="18"/>
        <w:szCs w:val="18"/>
      </w:rPr>
    </w:pPr>
    <w:r>
      <w:rPr>
        <w:rFonts w:ascii="Arial" w:hAnsi="Arial" w:cs="Arial"/>
        <w:color w:val="000000"/>
        <w:sz w:val="18"/>
        <w:szCs w:val="18"/>
      </w:rPr>
      <w:t>Av. Alberto Braune, nº 224 – sobreloja – Centro – Nova Friburgo – RJ</w:t>
    </w:r>
  </w:p>
  <w:p w14:paraId="04678CB3">
    <w:pPr>
      <w:pStyle w:val="15"/>
      <w:jc w:val="center"/>
      <w:rPr>
        <w:rFonts w:ascii="Arial" w:hAnsi="Arial" w:cs="Arial"/>
        <w:color w:val="000000"/>
        <w:sz w:val="18"/>
        <w:szCs w:val="18"/>
      </w:rPr>
    </w:pPr>
    <w:r>
      <w:rPr>
        <w:rFonts w:ascii="Arial" w:hAnsi="Arial" w:cs="Arial"/>
        <w:color w:val="000000"/>
        <w:sz w:val="18"/>
        <w:szCs w:val="18"/>
      </w:rPr>
      <w:t xml:space="preserve">CNPJ: 28.606.630/0001- 23 - e-mail: </w:t>
    </w:r>
    <w:r>
      <w:fldChar w:fldCharType="begin"/>
    </w:r>
    <w:r>
      <w:instrText xml:space="preserve"> HYPERLINK "mailto:pregaoeletronico.friburgo@gmail.com" </w:instrText>
    </w:r>
    <w:r>
      <w:fldChar w:fldCharType="separate"/>
    </w:r>
    <w:r>
      <w:rPr>
        <w:rStyle w:val="9"/>
        <w:rFonts w:ascii="Arial" w:hAnsi="Arial" w:cs="Arial"/>
        <w:sz w:val="18"/>
        <w:szCs w:val="18"/>
      </w:rPr>
      <w:t>pregaoeletronico.friburgo@gmail.com</w:t>
    </w:r>
    <w:r>
      <w:rPr>
        <w:rStyle w:val="9"/>
        <w:rFonts w:ascii="Arial" w:hAnsi="Arial" w:cs="Arial"/>
        <w:sz w:val="18"/>
        <w:szCs w:val="18"/>
      </w:rPr>
      <w:fldChar w:fldCharType="end"/>
    </w:r>
    <w:r>
      <w:rPr>
        <w:rFonts w:ascii="Arial" w:hAnsi="Arial" w:cs="Arial"/>
        <w:color w:val="000000"/>
        <w:sz w:val="18"/>
        <w:szCs w:val="18"/>
      </w:rPr>
      <w:t xml:space="preserve"> – Telefone: (22) 2525-9100  -</w:t>
    </w:r>
  </w:p>
  <w:p w14:paraId="580E253E">
    <w:pPr>
      <w:pStyle w:val="15"/>
      <w:jc w:val="center"/>
      <w:rPr>
        <w:rFonts w:ascii="Arial" w:hAnsi="Arial" w:cs="Arial"/>
        <w:color w:val="000000"/>
        <w:sz w:val="18"/>
        <w:szCs w:val="18"/>
      </w:rPr>
    </w:pPr>
    <w:r>
      <w:rPr>
        <w:rFonts w:ascii="Arial" w:hAnsi="Arial" w:cs="Arial"/>
        <w:color w:val="000000"/>
        <w:sz w:val="18"/>
        <w:szCs w:val="18"/>
      </w:rPr>
      <w:t>(22) 2525-9101</w:t>
    </w:r>
  </w:p>
  <w:p w14:paraId="78982067">
    <w:pPr>
      <w:pStyle w:val="15"/>
      <w:jc w:val="center"/>
      <w:rPr>
        <w:rFonts w:ascii="Arial" w:hAnsi="Arial" w:cs="Arial"/>
        <w:color w:val="000000"/>
        <w:sz w:val="18"/>
        <w:szCs w:val="18"/>
      </w:rPr>
    </w:pPr>
  </w:p>
  <w:p w14:paraId="3AAE8FAE">
    <w:pPr>
      <w:pStyle w:val="15"/>
      <w:jc w:val="right"/>
      <w:rPr>
        <w:rFonts w:ascii="Arial" w:hAnsi="Arial" w:cs="Arial"/>
        <w:sz w:val="18"/>
        <w:szCs w:val="18"/>
      </w:rPr>
    </w:pPr>
    <w:r>
      <w:rPr>
        <w:rFonts w:ascii="Arial" w:hAnsi="Arial" w:cs="Arial"/>
        <w:color w:val="000000"/>
        <w:sz w:val="18"/>
        <w:szCs w:val="18"/>
      </w:rPr>
      <w:t xml:space="preserve">Página </w:t>
    </w:r>
    <w:r>
      <w:rPr>
        <w:rFonts w:ascii="Arial" w:hAnsi="Arial" w:cs="Arial"/>
        <w:color w:val="000000"/>
        <w:sz w:val="18"/>
        <w:szCs w:val="18"/>
      </w:rPr>
      <w:fldChar w:fldCharType="begin"/>
    </w:r>
    <w:r>
      <w:rPr>
        <w:rFonts w:ascii="Arial" w:hAnsi="Arial" w:cs="Arial"/>
        <w:color w:val="000000"/>
        <w:sz w:val="18"/>
        <w:szCs w:val="18"/>
      </w:rPr>
      <w:instrText xml:space="preserve">PAGE  \* Arabic  \* MERGEFORMAT</w:instrText>
    </w:r>
    <w:r>
      <w:rPr>
        <w:rFonts w:ascii="Arial" w:hAnsi="Arial" w:cs="Arial"/>
        <w:color w:val="000000"/>
        <w:sz w:val="18"/>
        <w:szCs w:val="18"/>
      </w:rPr>
      <w:fldChar w:fldCharType="separate"/>
    </w:r>
    <w:r>
      <w:rPr>
        <w:rFonts w:ascii="Arial" w:hAnsi="Arial" w:cs="Arial"/>
        <w:color w:val="000000"/>
        <w:sz w:val="18"/>
        <w:szCs w:val="18"/>
      </w:rPr>
      <w:t>1</w:t>
    </w:r>
    <w:r>
      <w:rPr>
        <w:rFonts w:ascii="Arial" w:hAnsi="Arial" w:cs="Arial"/>
        <w:color w:val="000000"/>
        <w:sz w:val="18"/>
        <w:szCs w:val="18"/>
      </w:rPr>
      <w:fldChar w:fldCharType="end"/>
    </w:r>
    <w:r>
      <w:rPr>
        <w:rFonts w:ascii="Arial" w:hAnsi="Arial" w:cs="Arial"/>
        <w:color w:val="000000"/>
        <w:sz w:val="18"/>
        <w:szCs w:val="18"/>
      </w:rPr>
      <w:t xml:space="preserve"> de </w:t>
    </w:r>
    <w:r>
      <w:rPr>
        <w:rFonts w:ascii="Arial" w:hAnsi="Arial" w:cs="Arial"/>
        <w:color w:val="000000"/>
        <w:sz w:val="18"/>
        <w:szCs w:val="18"/>
      </w:rPr>
      <w:fldChar w:fldCharType="begin"/>
    </w:r>
    <w:r>
      <w:rPr>
        <w:rFonts w:ascii="Arial" w:hAnsi="Arial" w:cs="Arial"/>
        <w:color w:val="000000"/>
        <w:sz w:val="18"/>
        <w:szCs w:val="18"/>
      </w:rPr>
      <w:instrText xml:space="preserve">NUMPAGES \ * Arábico \ * MERGEFORMAT</w:instrText>
    </w:r>
    <w:r>
      <w:rPr>
        <w:rFonts w:ascii="Arial" w:hAnsi="Arial" w:cs="Arial"/>
        <w:color w:val="000000"/>
        <w:sz w:val="18"/>
        <w:szCs w:val="18"/>
      </w:rPr>
      <w:fldChar w:fldCharType="separate"/>
    </w:r>
    <w:r>
      <w:rPr>
        <w:rFonts w:ascii="Arial" w:hAnsi="Arial" w:cs="Arial"/>
        <w:color w:val="000000"/>
        <w:sz w:val="18"/>
        <w:szCs w:val="18"/>
      </w:rPr>
      <w:t>4</w:t>
    </w:r>
    <w:r>
      <w:rPr>
        <w:rFonts w:ascii="Arial" w:hAnsi="Arial" w:cs="Arial"/>
        <w:color w:val="000000"/>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5CE915">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3FEB6">
    <w:pPr>
      <w:pStyle w:val="1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7126A">
    <w:pPr>
      <w:pStyle w:val="14"/>
      <w:ind w:left="142" w:hanging="426"/>
      <w:rPr>
        <w:rFonts w:ascii="Times New Roman" w:hAnsi="Times New Roman" w:eastAsia="Times New Roman" w:cs="Times New Roman"/>
        <w:sz w:val="28"/>
        <w:szCs w:val="20"/>
        <w:lang w:val="pt-BR" w:eastAsia="zh-CN"/>
      </w:rPr>
    </w:pPr>
    <w:r>
      <w:rPr>
        <w:rFonts w:ascii="Times New Roman" w:hAnsi="Times New Roman" w:eastAsia="Times New Roman" w:cs="Times New Roman"/>
        <w:sz w:val="28"/>
        <w:szCs w:val="20"/>
        <w:lang w:val="pt-BR" w:eastAsia="zh-CN"/>
      </w:rPr>
      <w:drawing>
        <wp:inline distT="0" distB="0" distL="114300" distR="114300">
          <wp:extent cx="5720080" cy="1153795"/>
          <wp:effectExtent l="0" t="0" r="0" b="0"/>
          <wp:docPr id="1" name="Imagem 1" descr="Secretaria de Saúd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Secretaria de Saúde"/>
                  <pic:cNvPicPr>
                    <a:picLocks noChangeAspect="1"/>
                  </pic:cNvPicPr>
                </pic:nvPicPr>
                <pic:blipFill>
                  <a:blip r:embed="rId1"/>
                  <a:stretch>
                    <a:fillRect/>
                  </a:stretch>
                </pic:blipFill>
                <pic:spPr>
                  <a:xfrm>
                    <a:off x="0" y="0"/>
                    <a:ext cx="5720080" cy="1153795"/>
                  </a:xfrm>
                  <a:prstGeom prst="rect">
                    <a:avLst/>
                  </a:prstGeom>
                </pic:spPr>
              </pic:pic>
            </a:graphicData>
          </a:graphic>
        </wp:inline>
      </w:drawing>
    </w:r>
  </w:p>
  <w:p w14:paraId="4EF190F6">
    <w:pPr>
      <w:ind w:left="426" w:right="-17"/>
      <w:jc w:val="right"/>
      <w:rPr>
        <w:rFonts w:ascii="Arial" w:hAnsi="Arial" w:cs="Arial"/>
        <w:b/>
        <w:lang w:val="pt-BR"/>
      </w:rPr>
    </w:pPr>
    <w:r>
      <w:rPr>
        <w:rFonts w:ascii="Arial" w:hAnsi="Arial" w:cs="Arial"/>
        <w:b/>
        <w:lang w:val="pt-BR"/>
      </w:rPr>
      <w:t xml:space="preserve">TERMO DE CONTRATO ADMINISTRATIVO </w:t>
    </w:r>
    <w:r>
      <w:rPr>
        <w:rFonts w:ascii="Arial" w:hAnsi="Arial" w:cs="Arial"/>
        <w:b/>
        <w:color w:val="FF0000"/>
        <w:lang w:val="pt-BR"/>
      </w:rPr>
      <w:t>Nº XXXX/XXXX</w:t>
    </w:r>
  </w:p>
  <w:p w14:paraId="0676C92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E4238E">
    <w:pPr>
      <w:pStyle w:val="1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677E03">
    <w:pPr>
      <w:pStyle w:val="1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E88A49"/>
    <w:multiLevelType w:val="singleLevel"/>
    <w:tmpl w:val="93E88A49"/>
    <w:lvl w:ilvl="0" w:tentative="0">
      <w:start w:val="2"/>
      <w:numFmt w:val="decimal"/>
      <w:lvlText w:val="%1"/>
      <w:lvlJc w:val="left"/>
    </w:lvl>
  </w:abstractNum>
  <w:abstractNum w:abstractNumId="1">
    <w:nsid w:val="0299B3C5"/>
    <w:multiLevelType w:val="multilevel"/>
    <w:tmpl w:val="0299B3C5"/>
    <w:lvl w:ilvl="0" w:tentative="0">
      <w:start w:val="1"/>
      <w:numFmt w:val="lowerLetter"/>
      <w:lvlText w:val="%1)"/>
      <w:lvlJc w:val="left"/>
      <w:pPr>
        <w:tabs>
          <w:tab w:val="left" w:pos="0"/>
        </w:tabs>
        <w:ind w:left="1436" w:hanging="360"/>
      </w:pPr>
    </w:lvl>
    <w:lvl w:ilvl="1" w:tentative="0">
      <w:start w:val="1"/>
      <w:numFmt w:val="lowerLetter"/>
      <w:lvlText w:val="%2."/>
      <w:lvlJc w:val="left"/>
      <w:pPr>
        <w:tabs>
          <w:tab w:val="left" w:pos="0"/>
        </w:tabs>
        <w:ind w:left="2156" w:hanging="360"/>
      </w:pPr>
    </w:lvl>
    <w:lvl w:ilvl="2" w:tentative="0">
      <w:start w:val="1"/>
      <w:numFmt w:val="lowerRoman"/>
      <w:lvlText w:val="%3."/>
      <w:lvlJc w:val="right"/>
      <w:pPr>
        <w:tabs>
          <w:tab w:val="left" w:pos="0"/>
        </w:tabs>
        <w:ind w:left="2876" w:hanging="180"/>
      </w:pPr>
    </w:lvl>
    <w:lvl w:ilvl="3" w:tentative="0">
      <w:start w:val="1"/>
      <w:numFmt w:val="decimal"/>
      <w:lvlText w:val="%4."/>
      <w:lvlJc w:val="left"/>
      <w:pPr>
        <w:tabs>
          <w:tab w:val="left" w:pos="0"/>
        </w:tabs>
        <w:ind w:left="3596" w:hanging="360"/>
      </w:pPr>
    </w:lvl>
    <w:lvl w:ilvl="4" w:tentative="0">
      <w:start w:val="1"/>
      <w:numFmt w:val="lowerLetter"/>
      <w:lvlText w:val="%5."/>
      <w:lvlJc w:val="left"/>
      <w:pPr>
        <w:tabs>
          <w:tab w:val="left" w:pos="0"/>
        </w:tabs>
        <w:ind w:left="4316" w:hanging="360"/>
      </w:pPr>
    </w:lvl>
    <w:lvl w:ilvl="5" w:tentative="0">
      <w:start w:val="1"/>
      <w:numFmt w:val="lowerRoman"/>
      <w:lvlText w:val="%6."/>
      <w:lvlJc w:val="right"/>
      <w:pPr>
        <w:tabs>
          <w:tab w:val="left" w:pos="0"/>
        </w:tabs>
        <w:ind w:left="5036" w:hanging="180"/>
      </w:pPr>
    </w:lvl>
    <w:lvl w:ilvl="6" w:tentative="0">
      <w:start w:val="1"/>
      <w:numFmt w:val="decimal"/>
      <w:lvlText w:val="%7."/>
      <w:lvlJc w:val="left"/>
      <w:pPr>
        <w:tabs>
          <w:tab w:val="left" w:pos="0"/>
        </w:tabs>
        <w:ind w:left="5756" w:hanging="360"/>
      </w:pPr>
    </w:lvl>
    <w:lvl w:ilvl="7" w:tentative="0">
      <w:start w:val="1"/>
      <w:numFmt w:val="lowerLetter"/>
      <w:lvlText w:val="%8."/>
      <w:lvlJc w:val="left"/>
      <w:pPr>
        <w:tabs>
          <w:tab w:val="left" w:pos="0"/>
        </w:tabs>
        <w:ind w:left="6476" w:hanging="360"/>
      </w:pPr>
    </w:lvl>
    <w:lvl w:ilvl="8" w:tentative="0">
      <w:start w:val="1"/>
      <w:numFmt w:val="lowerRoman"/>
      <w:lvlText w:val="%9."/>
      <w:lvlJc w:val="right"/>
      <w:pPr>
        <w:tabs>
          <w:tab w:val="left" w:pos="0"/>
        </w:tabs>
        <w:ind w:left="7196" w:hanging="180"/>
      </w:pPr>
    </w:lvl>
  </w:abstractNum>
  <w:abstractNum w:abstractNumId="2">
    <w:nsid w:val="157018B4"/>
    <w:multiLevelType w:val="multilevel"/>
    <w:tmpl w:val="157018B4"/>
    <w:lvl w:ilvl="0" w:tentative="0">
      <w:start w:val="1"/>
      <w:numFmt w:val="lowerRoman"/>
      <w:lvlText w:val="%1."/>
      <w:lvlJc w:val="right"/>
      <w:pPr>
        <w:ind w:left="1287" w:hanging="360"/>
      </w:pPr>
    </w:lvl>
    <w:lvl w:ilvl="1" w:tentative="0">
      <w:start w:val="1"/>
      <w:numFmt w:val="decimal"/>
      <w:lvlText w:val="%2."/>
      <w:lvlJc w:val="left"/>
      <w:pPr>
        <w:ind w:left="2007" w:hanging="360"/>
      </w:pPr>
    </w:lvl>
    <w:lvl w:ilvl="2" w:tentative="0">
      <w:start w:val="1"/>
      <w:numFmt w:val="lowerRoman"/>
      <w:lvlText w:val="%3."/>
      <w:lvlJc w:val="right"/>
      <w:pPr>
        <w:ind w:left="2727" w:hanging="180"/>
      </w:pPr>
    </w:lvl>
    <w:lvl w:ilvl="3" w:tentative="0">
      <w:start w:val="1"/>
      <w:numFmt w:val="decimal"/>
      <w:lvlText w:val="%4."/>
      <w:lvlJc w:val="left"/>
      <w:pPr>
        <w:ind w:left="3447" w:hanging="360"/>
      </w:pPr>
    </w:lvl>
    <w:lvl w:ilvl="4" w:tentative="0">
      <w:start w:val="1"/>
      <w:numFmt w:val="lowerLetter"/>
      <w:lvlText w:val="%5."/>
      <w:lvlJc w:val="left"/>
      <w:pPr>
        <w:ind w:left="4167" w:hanging="360"/>
      </w:pPr>
    </w:lvl>
    <w:lvl w:ilvl="5" w:tentative="0">
      <w:start w:val="1"/>
      <w:numFmt w:val="lowerRoman"/>
      <w:lvlText w:val="%6."/>
      <w:lvlJc w:val="right"/>
      <w:pPr>
        <w:ind w:left="4887" w:hanging="180"/>
      </w:pPr>
    </w:lvl>
    <w:lvl w:ilvl="6" w:tentative="0">
      <w:start w:val="1"/>
      <w:numFmt w:val="decimal"/>
      <w:lvlText w:val="%7."/>
      <w:lvlJc w:val="left"/>
      <w:pPr>
        <w:ind w:left="5607" w:hanging="360"/>
      </w:pPr>
    </w:lvl>
    <w:lvl w:ilvl="7" w:tentative="0">
      <w:start w:val="1"/>
      <w:numFmt w:val="lowerLetter"/>
      <w:lvlText w:val="%8."/>
      <w:lvlJc w:val="left"/>
      <w:pPr>
        <w:ind w:left="6327" w:hanging="360"/>
      </w:pPr>
    </w:lvl>
    <w:lvl w:ilvl="8" w:tentative="0">
      <w:start w:val="1"/>
      <w:numFmt w:val="lowerRoman"/>
      <w:lvlText w:val="%9."/>
      <w:lvlJc w:val="right"/>
      <w:pPr>
        <w:ind w:left="7047" w:hanging="180"/>
      </w:pPr>
    </w:lvl>
  </w:abstractNum>
  <w:abstractNum w:abstractNumId="3">
    <w:nsid w:val="1BBD58D2"/>
    <w:multiLevelType w:val="multilevel"/>
    <w:tmpl w:val="1BBD58D2"/>
    <w:lvl w:ilvl="0" w:tentative="0">
      <w:start w:val="1"/>
      <w:numFmt w:val="decimal"/>
      <w:lvlText w:val="%1"/>
      <w:lvlJc w:val="left"/>
      <w:pPr>
        <w:ind w:left="360" w:hanging="360"/>
      </w:pPr>
      <w:rPr>
        <w:rFonts w:hint="default" w:ascii="Arial" w:hAnsi="Arial" w:cs="Arial"/>
        <w:color w:val="auto"/>
        <w:sz w:val="22"/>
        <w:szCs w:val="22"/>
        <w:highlight w:val="none"/>
      </w:rPr>
    </w:lvl>
    <w:lvl w:ilvl="1" w:tentative="0">
      <w:start w:val="1"/>
      <w:numFmt w:val="decimal"/>
      <w:isLgl/>
      <w:lvlText w:val="%1.%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4">
    <w:nsid w:val="1D5C100D"/>
    <w:multiLevelType w:val="multilevel"/>
    <w:tmpl w:val="1D5C100D"/>
    <w:lvl w:ilvl="0" w:tentative="0">
      <w:start w:val="4"/>
      <w:numFmt w:val="decimal"/>
      <w:pStyle w:val="43"/>
      <w:lvlText w:val="%1."/>
      <w:lvlJc w:val="left"/>
      <w:pPr>
        <w:ind w:left="360" w:hanging="360"/>
      </w:pPr>
      <w:rPr>
        <w:rFonts w:hint="default"/>
        <w:b/>
        <w:color w:val="auto"/>
      </w:rPr>
    </w:lvl>
    <w:lvl w:ilvl="1" w:tentative="0">
      <w:start w:val="1"/>
      <w:numFmt w:val="decimal"/>
      <w:lvlText w:val="%1.%2."/>
      <w:lvlJc w:val="left"/>
      <w:pPr>
        <w:ind w:left="716" w:hanging="432"/>
      </w:pPr>
      <w:rPr>
        <w:rFonts w:hint="default"/>
        <w:b w:val="0"/>
        <w:i w:val="0"/>
        <w:strike w:val="0"/>
        <w:dstrike w:val="0"/>
        <w:color w:val="auto"/>
        <w:u w:val="none"/>
      </w:rPr>
    </w:lvl>
    <w:lvl w:ilvl="2" w:tentative="0">
      <w:start w:val="1"/>
      <w:numFmt w:val="decimal"/>
      <w:lvlText w:val="%1.%2.%3."/>
      <w:lvlJc w:val="left"/>
      <w:pPr>
        <w:ind w:left="930" w:hanging="504"/>
      </w:pPr>
      <w:rPr>
        <w:rFonts w:hint="default"/>
        <w:b w:val="0"/>
        <w:i w:val="0"/>
        <w:color w:val="auto"/>
      </w:rPr>
    </w:lvl>
    <w:lvl w:ilvl="3" w:tentative="0">
      <w:start w:val="1"/>
      <w:numFmt w:val="decimal"/>
      <w:lvlText w:val="%1.%2.%3.%4."/>
      <w:lvlJc w:val="left"/>
      <w:pPr>
        <w:ind w:left="2491"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5">
    <w:nsid w:val="50396F0F"/>
    <w:multiLevelType w:val="multilevel"/>
    <w:tmpl w:val="50396F0F"/>
    <w:lvl w:ilvl="0" w:tentative="0">
      <w:start w:val="1"/>
      <w:numFmt w:val="decimal"/>
      <w:lvlText w:val="%1"/>
      <w:lvlJc w:val="left"/>
      <w:pPr>
        <w:ind w:left="360" w:hanging="360"/>
      </w:pPr>
      <w:rPr>
        <w:rFonts w:hint="default"/>
      </w:rPr>
    </w:lvl>
    <w:lvl w:ilvl="1" w:tentative="0">
      <w:start w:val="1"/>
      <w:numFmt w:val="lowerLetter"/>
      <w:lvlText w:val="%2)"/>
      <w:lvlJc w:val="left"/>
      <w:pPr>
        <w:ind w:left="360" w:hanging="360"/>
      </w:pPr>
      <w:rPr>
        <w:rFonts w:hint="default"/>
        <w:b w:val="0"/>
        <w:bCs w:val="0"/>
        <w:i w:val="0"/>
        <w:iCs w:val="0"/>
      </w:rPr>
    </w:lvl>
    <w:lvl w:ilvl="2" w:tentative="0">
      <w:start w:val="1"/>
      <w:numFmt w:val="decimal"/>
      <w:isLgl/>
      <w:lvlText w:val="%1.%2.%3"/>
      <w:lvlJc w:val="left"/>
      <w:pPr>
        <w:ind w:left="862" w:hanging="720"/>
      </w:pPr>
      <w:rPr>
        <w:rFonts w:hint="default"/>
        <w:b w:val="0"/>
        <w:bCs w:val="0"/>
        <w:i w:val="0"/>
        <w:iCs w:val="0"/>
      </w:rPr>
    </w:lvl>
    <w:lvl w:ilvl="3" w:tentative="0">
      <w:start w:val="1"/>
      <w:numFmt w:val="decimal"/>
      <w:isLgl/>
      <w:lvlText w:val="%1.%2.%3.%4"/>
      <w:lvlJc w:val="left"/>
      <w:pPr>
        <w:ind w:left="1222" w:hanging="1080"/>
      </w:pPr>
      <w:rPr>
        <w:rFonts w:hint="default"/>
        <w:b w:val="0"/>
        <w:bCs/>
      </w:rPr>
    </w:lvl>
    <w:lvl w:ilvl="4" w:tentative="0">
      <w:start w:val="1"/>
      <w:numFmt w:val="decimal"/>
      <w:isLgl/>
      <w:lvlText w:val="%1.%2.%3.%4.%5"/>
      <w:lvlJc w:val="left"/>
      <w:pPr>
        <w:ind w:left="2780" w:hanging="1080"/>
      </w:pPr>
      <w:rPr>
        <w:rFonts w:hint="default"/>
      </w:rPr>
    </w:lvl>
    <w:lvl w:ilvl="5" w:tentative="0">
      <w:start w:val="1"/>
      <w:numFmt w:val="decimal"/>
      <w:isLgl/>
      <w:lvlText w:val="%1.%2.%3.%4.%5.%6"/>
      <w:lvlJc w:val="left"/>
      <w:pPr>
        <w:ind w:left="3565" w:hanging="1440"/>
      </w:pPr>
      <w:rPr>
        <w:rFonts w:hint="default"/>
      </w:rPr>
    </w:lvl>
    <w:lvl w:ilvl="6" w:tentative="0">
      <w:start w:val="1"/>
      <w:numFmt w:val="decimal"/>
      <w:isLgl/>
      <w:lvlText w:val="%1.%2.%3.%4.%5.%6.%7"/>
      <w:lvlJc w:val="left"/>
      <w:pPr>
        <w:ind w:left="3990" w:hanging="1440"/>
      </w:pPr>
      <w:rPr>
        <w:rFonts w:hint="default"/>
      </w:rPr>
    </w:lvl>
    <w:lvl w:ilvl="7" w:tentative="0">
      <w:start w:val="1"/>
      <w:numFmt w:val="decimal"/>
      <w:isLgl/>
      <w:lvlText w:val="%1.%2.%3.%4.%5.%6.%7.%8"/>
      <w:lvlJc w:val="left"/>
      <w:pPr>
        <w:ind w:left="4775" w:hanging="1800"/>
      </w:pPr>
      <w:rPr>
        <w:rFonts w:hint="default"/>
      </w:rPr>
    </w:lvl>
    <w:lvl w:ilvl="8" w:tentative="0">
      <w:start w:val="1"/>
      <w:numFmt w:val="decimal"/>
      <w:isLgl/>
      <w:lvlText w:val="%1.%2.%3.%4.%5.%6.%7.%8.%9"/>
      <w:lvlJc w:val="left"/>
      <w:pPr>
        <w:ind w:left="5200" w:hanging="1800"/>
      </w:pPr>
      <w:rPr>
        <w:rFonts w:hint="default"/>
      </w:rPr>
    </w:lvl>
  </w:abstractNum>
  <w:abstractNum w:abstractNumId="6">
    <w:nsid w:val="7EA9AFCF"/>
    <w:multiLevelType w:val="multilevel"/>
    <w:tmpl w:val="7EA9AFCF"/>
    <w:lvl w:ilvl="0" w:tentative="0">
      <w:start w:val="19"/>
      <w:numFmt w:val="decimal"/>
      <w:lvlText w:val="%1."/>
      <w:lvlJc w:val="left"/>
      <w:pPr>
        <w:tabs>
          <w:tab w:val="left" w:pos="0"/>
        </w:tabs>
        <w:ind w:left="360" w:hanging="360"/>
      </w:pPr>
    </w:lvl>
    <w:lvl w:ilvl="1" w:tentative="0">
      <w:start w:val="1"/>
      <w:numFmt w:val="decimal"/>
      <w:lvlText w:val="%1.%2."/>
      <w:lvlJc w:val="left"/>
      <w:pPr>
        <w:tabs>
          <w:tab w:val="left" w:pos="0"/>
        </w:tabs>
        <w:ind w:left="792" w:hanging="432"/>
      </w:pPr>
      <w:rPr>
        <w:b w:val="0"/>
        <w:i w:val="0"/>
      </w:rPr>
    </w:lvl>
    <w:lvl w:ilvl="2" w:tentative="0">
      <w:start w:val="1"/>
      <w:numFmt w:val="lowerLetter"/>
      <w:lvlText w:val="%3)"/>
      <w:lvlJc w:val="left"/>
      <w:pPr>
        <w:tabs>
          <w:tab w:val="left" w:pos="0"/>
        </w:tabs>
        <w:ind w:left="1224" w:hanging="504"/>
      </w:pPr>
      <w:rPr>
        <w:b w:val="0"/>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num w:numId="1">
    <w:abstractNumId w:val="4"/>
  </w:num>
  <w:num w:numId="2">
    <w:abstractNumId w:val="0"/>
  </w:num>
  <w:num w:numId="3">
    <w:abstractNumId w:val="3"/>
  </w:num>
  <w:num w:numId="4">
    <w:abstractNumId w:val="6"/>
  </w:num>
  <w:num w:numId="5">
    <w:abstractNumId w:val="2"/>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501"/>
    <w:rsid w:val="00004765"/>
    <w:rsid w:val="00007997"/>
    <w:rsid w:val="00010323"/>
    <w:rsid w:val="000137FD"/>
    <w:rsid w:val="00016803"/>
    <w:rsid w:val="000168E3"/>
    <w:rsid w:val="0001740F"/>
    <w:rsid w:val="000205DB"/>
    <w:rsid w:val="000329BF"/>
    <w:rsid w:val="00043FA7"/>
    <w:rsid w:val="00055A35"/>
    <w:rsid w:val="00060815"/>
    <w:rsid w:val="00064A3F"/>
    <w:rsid w:val="000659B7"/>
    <w:rsid w:val="0007531B"/>
    <w:rsid w:val="00085E40"/>
    <w:rsid w:val="00090A03"/>
    <w:rsid w:val="00090C31"/>
    <w:rsid w:val="00092735"/>
    <w:rsid w:val="00097D7B"/>
    <w:rsid w:val="000A1E64"/>
    <w:rsid w:val="000A3199"/>
    <w:rsid w:val="000B23ED"/>
    <w:rsid w:val="000C75B5"/>
    <w:rsid w:val="000D17CB"/>
    <w:rsid w:val="000D45F1"/>
    <w:rsid w:val="000D6176"/>
    <w:rsid w:val="000E4CF2"/>
    <w:rsid w:val="000E4D70"/>
    <w:rsid w:val="000E6000"/>
    <w:rsid w:val="000E684C"/>
    <w:rsid w:val="000E6DAE"/>
    <w:rsid w:val="000F0F17"/>
    <w:rsid w:val="000F2826"/>
    <w:rsid w:val="000F46E9"/>
    <w:rsid w:val="000F4D4D"/>
    <w:rsid w:val="00100FEB"/>
    <w:rsid w:val="0010179C"/>
    <w:rsid w:val="00102A53"/>
    <w:rsid w:val="001079D7"/>
    <w:rsid w:val="001149D8"/>
    <w:rsid w:val="001272CC"/>
    <w:rsid w:val="00130DCF"/>
    <w:rsid w:val="00134FCE"/>
    <w:rsid w:val="00135F0B"/>
    <w:rsid w:val="0014449B"/>
    <w:rsid w:val="00147B9F"/>
    <w:rsid w:val="0015173F"/>
    <w:rsid w:val="0015751B"/>
    <w:rsid w:val="00165D70"/>
    <w:rsid w:val="001767E4"/>
    <w:rsid w:val="00185DBF"/>
    <w:rsid w:val="00187C1B"/>
    <w:rsid w:val="00193060"/>
    <w:rsid w:val="001A0D41"/>
    <w:rsid w:val="001A1733"/>
    <w:rsid w:val="001B5037"/>
    <w:rsid w:val="001D1890"/>
    <w:rsid w:val="001D32DF"/>
    <w:rsid w:val="001D4AC3"/>
    <w:rsid w:val="001E0962"/>
    <w:rsid w:val="001E3568"/>
    <w:rsid w:val="001E6DD7"/>
    <w:rsid w:val="001F44F7"/>
    <w:rsid w:val="00204C8A"/>
    <w:rsid w:val="00205048"/>
    <w:rsid w:val="002218CE"/>
    <w:rsid w:val="002248AB"/>
    <w:rsid w:val="00227DC7"/>
    <w:rsid w:val="00230394"/>
    <w:rsid w:val="00231ABE"/>
    <w:rsid w:val="00243E36"/>
    <w:rsid w:val="00244CA9"/>
    <w:rsid w:val="00251867"/>
    <w:rsid w:val="002556A7"/>
    <w:rsid w:val="002573CE"/>
    <w:rsid w:val="00257889"/>
    <w:rsid w:val="00264522"/>
    <w:rsid w:val="002663BD"/>
    <w:rsid w:val="00266B10"/>
    <w:rsid w:val="00276B5D"/>
    <w:rsid w:val="0028199E"/>
    <w:rsid w:val="00284EA1"/>
    <w:rsid w:val="0028504B"/>
    <w:rsid w:val="00296174"/>
    <w:rsid w:val="002A4753"/>
    <w:rsid w:val="002A5731"/>
    <w:rsid w:val="002A7071"/>
    <w:rsid w:val="002B28F4"/>
    <w:rsid w:val="002B3DAB"/>
    <w:rsid w:val="002D6243"/>
    <w:rsid w:val="002E43FD"/>
    <w:rsid w:val="002E71FD"/>
    <w:rsid w:val="002F2CC8"/>
    <w:rsid w:val="002F585C"/>
    <w:rsid w:val="00315F43"/>
    <w:rsid w:val="00320761"/>
    <w:rsid w:val="0032285B"/>
    <w:rsid w:val="00323F3D"/>
    <w:rsid w:val="00326DB2"/>
    <w:rsid w:val="003370B0"/>
    <w:rsid w:val="003378B0"/>
    <w:rsid w:val="00342284"/>
    <w:rsid w:val="003444FD"/>
    <w:rsid w:val="00347799"/>
    <w:rsid w:val="0035743C"/>
    <w:rsid w:val="003578AC"/>
    <w:rsid w:val="0036128D"/>
    <w:rsid w:val="003649A2"/>
    <w:rsid w:val="00366D5F"/>
    <w:rsid w:val="00370B10"/>
    <w:rsid w:val="00380F2F"/>
    <w:rsid w:val="0038358C"/>
    <w:rsid w:val="00385663"/>
    <w:rsid w:val="00390F82"/>
    <w:rsid w:val="003920AB"/>
    <w:rsid w:val="00392DE5"/>
    <w:rsid w:val="0039504F"/>
    <w:rsid w:val="003972BC"/>
    <w:rsid w:val="003A1163"/>
    <w:rsid w:val="003A3482"/>
    <w:rsid w:val="003B00FF"/>
    <w:rsid w:val="003B2A0D"/>
    <w:rsid w:val="003B4554"/>
    <w:rsid w:val="003B5284"/>
    <w:rsid w:val="003B53CC"/>
    <w:rsid w:val="003C14A5"/>
    <w:rsid w:val="003C15BE"/>
    <w:rsid w:val="003C1DC7"/>
    <w:rsid w:val="003E1F86"/>
    <w:rsid w:val="003E4A77"/>
    <w:rsid w:val="003F6F6E"/>
    <w:rsid w:val="00403108"/>
    <w:rsid w:val="0041063D"/>
    <w:rsid w:val="00410E3A"/>
    <w:rsid w:val="00413F35"/>
    <w:rsid w:val="00415976"/>
    <w:rsid w:val="00415C1A"/>
    <w:rsid w:val="00417717"/>
    <w:rsid w:val="00430C16"/>
    <w:rsid w:val="00436587"/>
    <w:rsid w:val="00442048"/>
    <w:rsid w:val="0044502E"/>
    <w:rsid w:val="004549BE"/>
    <w:rsid w:val="00461F93"/>
    <w:rsid w:val="00466044"/>
    <w:rsid w:val="00466BF6"/>
    <w:rsid w:val="004735E6"/>
    <w:rsid w:val="0047582C"/>
    <w:rsid w:val="00475936"/>
    <w:rsid w:val="0048007A"/>
    <w:rsid w:val="00490E4C"/>
    <w:rsid w:val="004959AC"/>
    <w:rsid w:val="004A09DC"/>
    <w:rsid w:val="004A1537"/>
    <w:rsid w:val="004A30C1"/>
    <w:rsid w:val="004A7803"/>
    <w:rsid w:val="004B375B"/>
    <w:rsid w:val="004B61AB"/>
    <w:rsid w:val="004C1220"/>
    <w:rsid w:val="004D3E0A"/>
    <w:rsid w:val="004E079B"/>
    <w:rsid w:val="004E1FFC"/>
    <w:rsid w:val="004E221E"/>
    <w:rsid w:val="004E608B"/>
    <w:rsid w:val="005002F9"/>
    <w:rsid w:val="005041CA"/>
    <w:rsid w:val="0050609F"/>
    <w:rsid w:val="0050761F"/>
    <w:rsid w:val="00510C82"/>
    <w:rsid w:val="00515DDB"/>
    <w:rsid w:val="005241B8"/>
    <w:rsid w:val="005258A4"/>
    <w:rsid w:val="00532FA9"/>
    <w:rsid w:val="005466C3"/>
    <w:rsid w:val="00546D34"/>
    <w:rsid w:val="0055035E"/>
    <w:rsid w:val="00552CD7"/>
    <w:rsid w:val="005548E3"/>
    <w:rsid w:val="00557CD0"/>
    <w:rsid w:val="0056221F"/>
    <w:rsid w:val="00563586"/>
    <w:rsid w:val="00564A89"/>
    <w:rsid w:val="00571224"/>
    <w:rsid w:val="005722A3"/>
    <w:rsid w:val="00573D04"/>
    <w:rsid w:val="00594591"/>
    <w:rsid w:val="005C402B"/>
    <w:rsid w:val="005D7CC0"/>
    <w:rsid w:val="005E2922"/>
    <w:rsid w:val="005E753D"/>
    <w:rsid w:val="005F5E8D"/>
    <w:rsid w:val="005F6177"/>
    <w:rsid w:val="00604469"/>
    <w:rsid w:val="00612436"/>
    <w:rsid w:val="006142F9"/>
    <w:rsid w:val="00617943"/>
    <w:rsid w:val="00617E05"/>
    <w:rsid w:val="00620E2E"/>
    <w:rsid w:val="00623F21"/>
    <w:rsid w:val="0062482D"/>
    <w:rsid w:val="006306EF"/>
    <w:rsid w:val="00633BD8"/>
    <w:rsid w:val="00637E49"/>
    <w:rsid w:val="00641674"/>
    <w:rsid w:val="00645026"/>
    <w:rsid w:val="00646682"/>
    <w:rsid w:val="006709DA"/>
    <w:rsid w:val="0067457F"/>
    <w:rsid w:val="0068504B"/>
    <w:rsid w:val="00691421"/>
    <w:rsid w:val="006A1B6A"/>
    <w:rsid w:val="006B62AB"/>
    <w:rsid w:val="006C7188"/>
    <w:rsid w:val="006D48A5"/>
    <w:rsid w:val="006D4909"/>
    <w:rsid w:val="006D6562"/>
    <w:rsid w:val="006E5958"/>
    <w:rsid w:val="006E635F"/>
    <w:rsid w:val="006F0ECE"/>
    <w:rsid w:val="007168B3"/>
    <w:rsid w:val="00722F56"/>
    <w:rsid w:val="007270C7"/>
    <w:rsid w:val="00735ADD"/>
    <w:rsid w:val="00741433"/>
    <w:rsid w:val="007476E1"/>
    <w:rsid w:val="0075018C"/>
    <w:rsid w:val="007506FB"/>
    <w:rsid w:val="0075652C"/>
    <w:rsid w:val="00763341"/>
    <w:rsid w:val="00773AA0"/>
    <w:rsid w:val="007767C7"/>
    <w:rsid w:val="00776D41"/>
    <w:rsid w:val="00785644"/>
    <w:rsid w:val="00785D66"/>
    <w:rsid w:val="0079421E"/>
    <w:rsid w:val="00797F3F"/>
    <w:rsid w:val="007B0D84"/>
    <w:rsid w:val="007B28CD"/>
    <w:rsid w:val="007E7BBF"/>
    <w:rsid w:val="007F7B13"/>
    <w:rsid w:val="00807004"/>
    <w:rsid w:val="00814BB1"/>
    <w:rsid w:val="00814BDC"/>
    <w:rsid w:val="008233A0"/>
    <w:rsid w:val="008311C9"/>
    <w:rsid w:val="00831574"/>
    <w:rsid w:val="00837319"/>
    <w:rsid w:val="00837575"/>
    <w:rsid w:val="008375B8"/>
    <w:rsid w:val="00841112"/>
    <w:rsid w:val="00845043"/>
    <w:rsid w:val="00845367"/>
    <w:rsid w:val="008567D8"/>
    <w:rsid w:val="00857EE4"/>
    <w:rsid w:val="00860A90"/>
    <w:rsid w:val="00870B00"/>
    <w:rsid w:val="00872F10"/>
    <w:rsid w:val="008743A2"/>
    <w:rsid w:val="00874B70"/>
    <w:rsid w:val="008756B2"/>
    <w:rsid w:val="00876B97"/>
    <w:rsid w:val="008828B6"/>
    <w:rsid w:val="00884B47"/>
    <w:rsid w:val="00885008"/>
    <w:rsid w:val="00885E3B"/>
    <w:rsid w:val="0089242C"/>
    <w:rsid w:val="0089518A"/>
    <w:rsid w:val="008A046D"/>
    <w:rsid w:val="008A31DA"/>
    <w:rsid w:val="008A72D1"/>
    <w:rsid w:val="008B1D7C"/>
    <w:rsid w:val="008B5745"/>
    <w:rsid w:val="008B71AC"/>
    <w:rsid w:val="008C47CA"/>
    <w:rsid w:val="008C4D64"/>
    <w:rsid w:val="008C4FC6"/>
    <w:rsid w:val="008C6F60"/>
    <w:rsid w:val="008D3457"/>
    <w:rsid w:val="008D5F7A"/>
    <w:rsid w:val="008D78EA"/>
    <w:rsid w:val="008E1A25"/>
    <w:rsid w:val="008E4F62"/>
    <w:rsid w:val="008E5AD6"/>
    <w:rsid w:val="008E65D4"/>
    <w:rsid w:val="008E6D4F"/>
    <w:rsid w:val="0090165D"/>
    <w:rsid w:val="009039E8"/>
    <w:rsid w:val="009061B6"/>
    <w:rsid w:val="009063BB"/>
    <w:rsid w:val="009162EB"/>
    <w:rsid w:val="0092129B"/>
    <w:rsid w:val="009213D5"/>
    <w:rsid w:val="009327CB"/>
    <w:rsid w:val="009335AB"/>
    <w:rsid w:val="00941301"/>
    <w:rsid w:val="00941655"/>
    <w:rsid w:val="00944FFE"/>
    <w:rsid w:val="00954199"/>
    <w:rsid w:val="009553C6"/>
    <w:rsid w:val="00956E65"/>
    <w:rsid w:val="00971993"/>
    <w:rsid w:val="00974672"/>
    <w:rsid w:val="00974A4B"/>
    <w:rsid w:val="00975829"/>
    <w:rsid w:val="0097688D"/>
    <w:rsid w:val="0097702B"/>
    <w:rsid w:val="009872FB"/>
    <w:rsid w:val="009877CB"/>
    <w:rsid w:val="009A16F5"/>
    <w:rsid w:val="009B3712"/>
    <w:rsid w:val="009C02ED"/>
    <w:rsid w:val="009C3548"/>
    <w:rsid w:val="009D2CA1"/>
    <w:rsid w:val="009E2340"/>
    <w:rsid w:val="009F2F85"/>
    <w:rsid w:val="00A06D2F"/>
    <w:rsid w:val="00A07238"/>
    <w:rsid w:val="00A111BA"/>
    <w:rsid w:val="00A14FF7"/>
    <w:rsid w:val="00A229E2"/>
    <w:rsid w:val="00A23D36"/>
    <w:rsid w:val="00A27B94"/>
    <w:rsid w:val="00A327A0"/>
    <w:rsid w:val="00A74974"/>
    <w:rsid w:val="00A75B6C"/>
    <w:rsid w:val="00A87002"/>
    <w:rsid w:val="00A92914"/>
    <w:rsid w:val="00A94653"/>
    <w:rsid w:val="00A96E16"/>
    <w:rsid w:val="00AA12A7"/>
    <w:rsid w:val="00AA4EF9"/>
    <w:rsid w:val="00AC1427"/>
    <w:rsid w:val="00AC1FD2"/>
    <w:rsid w:val="00AC5178"/>
    <w:rsid w:val="00AC69AD"/>
    <w:rsid w:val="00AD022C"/>
    <w:rsid w:val="00AD7246"/>
    <w:rsid w:val="00AE2539"/>
    <w:rsid w:val="00AE7153"/>
    <w:rsid w:val="00AF4EE0"/>
    <w:rsid w:val="00AF5DD4"/>
    <w:rsid w:val="00AF6B88"/>
    <w:rsid w:val="00B0084D"/>
    <w:rsid w:val="00B02294"/>
    <w:rsid w:val="00B03288"/>
    <w:rsid w:val="00B061E6"/>
    <w:rsid w:val="00B11226"/>
    <w:rsid w:val="00B12062"/>
    <w:rsid w:val="00B13DC2"/>
    <w:rsid w:val="00B17BE8"/>
    <w:rsid w:val="00B25D0B"/>
    <w:rsid w:val="00B26F60"/>
    <w:rsid w:val="00B27105"/>
    <w:rsid w:val="00B30CA0"/>
    <w:rsid w:val="00B35782"/>
    <w:rsid w:val="00B367AB"/>
    <w:rsid w:val="00B37399"/>
    <w:rsid w:val="00B375EA"/>
    <w:rsid w:val="00B42A6A"/>
    <w:rsid w:val="00B51D0D"/>
    <w:rsid w:val="00B52F88"/>
    <w:rsid w:val="00B676BB"/>
    <w:rsid w:val="00B721DC"/>
    <w:rsid w:val="00B92016"/>
    <w:rsid w:val="00B923BE"/>
    <w:rsid w:val="00B92721"/>
    <w:rsid w:val="00BA1327"/>
    <w:rsid w:val="00BA2AC6"/>
    <w:rsid w:val="00BA68EF"/>
    <w:rsid w:val="00BB0633"/>
    <w:rsid w:val="00BB0C6C"/>
    <w:rsid w:val="00BB36D3"/>
    <w:rsid w:val="00BB3B8F"/>
    <w:rsid w:val="00BB408F"/>
    <w:rsid w:val="00BB527C"/>
    <w:rsid w:val="00BB61D2"/>
    <w:rsid w:val="00BD4347"/>
    <w:rsid w:val="00BE3C4E"/>
    <w:rsid w:val="00BE3CE6"/>
    <w:rsid w:val="00BE40A2"/>
    <w:rsid w:val="00BE429A"/>
    <w:rsid w:val="00BE4E9F"/>
    <w:rsid w:val="00BF3141"/>
    <w:rsid w:val="00BF7454"/>
    <w:rsid w:val="00C041FC"/>
    <w:rsid w:val="00C12366"/>
    <w:rsid w:val="00C16694"/>
    <w:rsid w:val="00C47458"/>
    <w:rsid w:val="00C54DFB"/>
    <w:rsid w:val="00C55376"/>
    <w:rsid w:val="00C55896"/>
    <w:rsid w:val="00C60F34"/>
    <w:rsid w:val="00C634F1"/>
    <w:rsid w:val="00C72EDE"/>
    <w:rsid w:val="00C74C9C"/>
    <w:rsid w:val="00C80C6C"/>
    <w:rsid w:val="00C81401"/>
    <w:rsid w:val="00C81B18"/>
    <w:rsid w:val="00C876B7"/>
    <w:rsid w:val="00C91A0C"/>
    <w:rsid w:val="00C9769F"/>
    <w:rsid w:val="00CA5F9F"/>
    <w:rsid w:val="00CB5AC0"/>
    <w:rsid w:val="00CB6468"/>
    <w:rsid w:val="00CB7984"/>
    <w:rsid w:val="00CC0C99"/>
    <w:rsid w:val="00CC288A"/>
    <w:rsid w:val="00CC666F"/>
    <w:rsid w:val="00CE1CB6"/>
    <w:rsid w:val="00CF467B"/>
    <w:rsid w:val="00D06A05"/>
    <w:rsid w:val="00D22F45"/>
    <w:rsid w:val="00D2348E"/>
    <w:rsid w:val="00D249B9"/>
    <w:rsid w:val="00D2776D"/>
    <w:rsid w:val="00D27AFB"/>
    <w:rsid w:val="00D308FA"/>
    <w:rsid w:val="00D473D7"/>
    <w:rsid w:val="00D5096A"/>
    <w:rsid w:val="00D653DF"/>
    <w:rsid w:val="00D7231B"/>
    <w:rsid w:val="00D7299B"/>
    <w:rsid w:val="00D73E45"/>
    <w:rsid w:val="00D90EA5"/>
    <w:rsid w:val="00D9158F"/>
    <w:rsid w:val="00D97BF6"/>
    <w:rsid w:val="00DA0D02"/>
    <w:rsid w:val="00DA57AB"/>
    <w:rsid w:val="00DA7D88"/>
    <w:rsid w:val="00DB1B33"/>
    <w:rsid w:val="00DB4906"/>
    <w:rsid w:val="00DB6EA1"/>
    <w:rsid w:val="00DC58C6"/>
    <w:rsid w:val="00DC6CC7"/>
    <w:rsid w:val="00DC6FCA"/>
    <w:rsid w:val="00DD641A"/>
    <w:rsid w:val="00DE2273"/>
    <w:rsid w:val="00E12775"/>
    <w:rsid w:val="00E151D6"/>
    <w:rsid w:val="00E26E61"/>
    <w:rsid w:val="00E27B1B"/>
    <w:rsid w:val="00E30BFB"/>
    <w:rsid w:val="00E40A97"/>
    <w:rsid w:val="00E415DF"/>
    <w:rsid w:val="00E4547A"/>
    <w:rsid w:val="00E73173"/>
    <w:rsid w:val="00E77501"/>
    <w:rsid w:val="00E801F7"/>
    <w:rsid w:val="00E81BCB"/>
    <w:rsid w:val="00E82948"/>
    <w:rsid w:val="00E87FEF"/>
    <w:rsid w:val="00E907AA"/>
    <w:rsid w:val="00E92688"/>
    <w:rsid w:val="00EA0EF6"/>
    <w:rsid w:val="00EA45FB"/>
    <w:rsid w:val="00EA6E3C"/>
    <w:rsid w:val="00EB35BD"/>
    <w:rsid w:val="00EC0B90"/>
    <w:rsid w:val="00EC7959"/>
    <w:rsid w:val="00ED1360"/>
    <w:rsid w:val="00ED74B1"/>
    <w:rsid w:val="00EE1B67"/>
    <w:rsid w:val="00EE2035"/>
    <w:rsid w:val="00EE72CE"/>
    <w:rsid w:val="00EF6AA9"/>
    <w:rsid w:val="00F232EF"/>
    <w:rsid w:val="00F30FF9"/>
    <w:rsid w:val="00F32C26"/>
    <w:rsid w:val="00F336C7"/>
    <w:rsid w:val="00F37352"/>
    <w:rsid w:val="00F40051"/>
    <w:rsid w:val="00F45FFC"/>
    <w:rsid w:val="00F46439"/>
    <w:rsid w:val="00F57615"/>
    <w:rsid w:val="00F829FD"/>
    <w:rsid w:val="00F847D5"/>
    <w:rsid w:val="00FA307E"/>
    <w:rsid w:val="00FA5861"/>
    <w:rsid w:val="00FB230B"/>
    <w:rsid w:val="00FB71A6"/>
    <w:rsid w:val="00FC22BB"/>
    <w:rsid w:val="00FD2171"/>
    <w:rsid w:val="00FD7FE7"/>
    <w:rsid w:val="00FE6985"/>
    <w:rsid w:val="00FF2E17"/>
    <w:rsid w:val="023A1698"/>
    <w:rsid w:val="095B55A9"/>
    <w:rsid w:val="0A085FB0"/>
    <w:rsid w:val="0B4045DA"/>
    <w:rsid w:val="0B633288"/>
    <w:rsid w:val="0E910213"/>
    <w:rsid w:val="101C0506"/>
    <w:rsid w:val="11CC2ACE"/>
    <w:rsid w:val="16CF35F9"/>
    <w:rsid w:val="18871C78"/>
    <w:rsid w:val="1AF72D93"/>
    <w:rsid w:val="1EDD65E2"/>
    <w:rsid w:val="1FD12E07"/>
    <w:rsid w:val="25C4690B"/>
    <w:rsid w:val="2D477235"/>
    <w:rsid w:val="2ED94FBD"/>
    <w:rsid w:val="2FB066E8"/>
    <w:rsid w:val="3C4D19A5"/>
    <w:rsid w:val="3C9967A2"/>
    <w:rsid w:val="3D361311"/>
    <w:rsid w:val="43275C94"/>
    <w:rsid w:val="47801352"/>
    <w:rsid w:val="48E91AF9"/>
    <w:rsid w:val="493A40DB"/>
    <w:rsid w:val="501F24D5"/>
    <w:rsid w:val="58FE6179"/>
    <w:rsid w:val="5A7A3035"/>
    <w:rsid w:val="5C237373"/>
    <w:rsid w:val="608B1393"/>
    <w:rsid w:val="623C6820"/>
    <w:rsid w:val="631B1427"/>
    <w:rsid w:val="68532C20"/>
    <w:rsid w:val="685B5317"/>
    <w:rsid w:val="68AC6D10"/>
    <w:rsid w:val="69BF2601"/>
    <w:rsid w:val="6EAA6999"/>
    <w:rsid w:val="6F064CCF"/>
    <w:rsid w:val="70880BBF"/>
    <w:rsid w:val="738B1732"/>
    <w:rsid w:val="749B1192"/>
    <w:rsid w:val="77B2358A"/>
    <w:rsid w:val="7F387179"/>
    <w:rsid w:val="7FC833FF"/>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0"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34" w:semiHidden="0" w:name="List Paragraph"/>
    <w:lsdException w:qFormat="1" w:unhideWhenUsed="0" w:uiPriority="29" w:semiHidden="0" w:name="Quote"/>
  </w:latentStyles>
  <w:style w:type="paragraph" w:default="1" w:styleId="1">
    <w:name w:val="Normal"/>
    <w:qFormat/>
    <w:uiPriority w:val="0"/>
    <w:pPr>
      <w:widowControl w:val="0"/>
      <w:autoSpaceDE w:val="0"/>
      <w:autoSpaceDN w:val="0"/>
    </w:pPr>
    <w:rPr>
      <w:rFonts w:ascii="Verdana" w:hAnsi="Verdana" w:eastAsia="Verdana" w:cs="Verdana"/>
      <w:sz w:val="22"/>
      <w:szCs w:val="22"/>
      <w:lang w:val="pt-PT" w:eastAsia="en-US" w:bidi="ar-SA"/>
    </w:rPr>
  </w:style>
  <w:style w:type="paragraph" w:styleId="2">
    <w:name w:val="heading 1"/>
    <w:basedOn w:val="1"/>
    <w:next w:val="1"/>
    <w:qFormat/>
    <w:uiPriority w:val="9"/>
    <w:pPr>
      <w:spacing w:before="92" w:line="229" w:lineRule="exact"/>
      <w:ind w:left="301"/>
      <w:outlineLvl w:val="0"/>
    </w:pPr>
    <w:rPr>
      <w:rFonts w:ascii="Arial" w:hAnsi="Arial" w:eastAsia="Arial" w:cs="Arial"/>
      <w:sz w:val="20"/>
      <w:szCs w:val="20"/>
    </w:rPr>
  </w:style>
  <w:style w:type="paragraph" w:styleId="3">
    <w:name w:val="heading 2"/>
    <w:basedOn w:val="1"/>
    <w:next w:val="1"/>
    <w:unhideWhenUsed/>
    <w:qFormat/>
    <w:uiPriority w:val="9"/>
    <w:pPr>
      <w:ind w:left="301"/>
      <w:outlineLvl w:val="1"/>
    </w:pPr>
    <w:rPr>
      <w:b/>
      <w:bCs/>
      <w:sz w:val="18"/>
      <w:szCs w:val="18"/>
      <w:u w:val="single" w:color="000000"/>
    </w:rPr>
  </w:style>
  <w:style w:type="paragraph" w:styleId="4">
    <w:name w:val="heading 8"/>
    <w:basedOn w:val="1"/>
    <w:next w:val="1"/>
    <w:link w:val="24"/>
    <w:unhideWhenUsed/>
    <w:qFormat/>
    <w:uiPriority w:val="0"/>
    <w:pPr>
      <w:widowControl/>
      <w:autoSpaceDE/>
      <w:autoSpaceDN/>
      <w:spacing w:before="240" w:after="60"/>
      <w:outlineLvl w:val="7"/>
    </w:pPr>
    <w:rPr>
      <w:rFonts w:ascii="Calibri" w:hAnsi="Calibri" w:eastAsia="Times New Roman" w:cs="Times New Roman"/>
      <w:i/>
      <w:iCs/>
      <w:sz w:val="24"/>
      <w:szCs w:val="24"/>
      <w:lang w:val="pt-BR" w:eastAsia="pt-BR"/>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character" w:styleId="7">
    <w:name w:val="annotation reference"/>
    <w:basedOn w:val="5"/>
    <w:unhideWhenUsed/>
    <w:qFormat/>
    <w:uiPriority w:val="0"/>
    <w:rPr>
      <w:sz w:val="16"/>
      <w:szCs w:val="16"/>
    </w:rPr>
  </w:style>
  <w:style w:type="character" w:styleId="8">
    <w:name w:val="FollowedHyperlink"/>
    <w:basedOn w:val="5"/>
    <w:semiHidden/>
    <w:unhideWhenUsed/>
    <w:qFormat/>
    <w:uiPriority w:val="99"/>
    <w:rPr>
      <w:color w:val="800080" w:themeColor="followedHyperlink"/>
      <w:u w:val="single"/>
      <w14:textFill>
        <w14:solidFill>
          <w14:schemeClr w14:val="folHlink"/>
        </w14:solidFill>
      </w14:textFill>
    </w:rPr>
  </w:style>
  <w:style w:type="character" w:styleId="9">
    <w:name w:val="Hyperlink"/>
    <w:unhideWhenUsed/>
    <w:qFormat/>
    <w:uiPriority w:val="99"/>
    <w:rPr>
      <w:color w:val="0000FF"/>
      <w:u w:val="single"/>
    </w:rPr>
  </w:style>
  <w:style w:type="paragraph" w:styleId="10">
    <w:name w:val="Body Text"/>
    <w:basedOn w:val="1"/>
    <w:qFormat/>
    <w:uiPriority w:val="1"/>
    <w:rPr>
      <w:sz w:val="18"/>
      <w:szCs w:val="18"/>
    </w:rPr>
  </w:style>
  <w:style w:type="paragraph" w:styleId="11">
    <w:name w:val="annotation text"/>
    <w:basedOn w:val="1"/>
    <w:link w:val="49"/>
    <w:unhideWhenUsed/>
    <w:qFormat/>
    <w:uiPriority w:val="99"/>
    <w:pPr>
      <w:widowControl/>
      <w:autoSpaceDE/>
      <w:autoSpaceDN/>
    </w:pPr>
    <w:rPr>
      <w:rFonts w:ascii="Ecofont_Spranq_eco_Sans" w:hAnsi="Ecofont_Spranq_eco_Sans" w:cs="Tahoma" w:eastAsiaTheme="minorEastAsia"/>
      <w:sz w:val="20"/>
      <w:szCs w:val="20"/>
      <w:lang w:val="pt-BR" w:eastAsia="pt-BR"/>
    </w:rPr>
  </w:style>
  <w:style w:type="paragraph" w:styleId="12">
    <w:name w:val="Title"/>
    <w:basedOn w:val="1"/>
    <w:qFormat/>
    <w:uiPriority w:val="10"/>
    <w:pPr>
      <w:spacing w:before="30"/>
      <w:ind w:left="20"/>
    </w:pPr>
    <w:rPr>
      <w:rFonts w:ascii="Arial" w:hAnsi="Arial" w:eastAsia="Arial" w:cs="Arial"/>
    </w:rPr>
  </w:style>
  <w:style w:type="paragraph" w:styleId="13">
    <w:name w:val="Normal (Web)"/>
    <w:basedOn w:val="1"/>
    <w:qFormat/>
    <w:uiPriority w:val="99"/>
    <w:pPr>
      <w:widowControl/>
      <w:autoSpaceDE/>
      <w:autoSpaceDN/>
      <w:spacing w:before="100" w:beforeAutospacing="1" w:after="100" w:afterAutospacing="1"/>
    </w:pPr>
    <w:rPr>
      <w:rFonts w:ascii="Times New Roman" w:hAnsi="Times New Roman" w:eastAsia="Times New Roman" w:cs="Times New Roman"/>
      <w:sz w:val="24"/>
      <w:szCs w:val="24"/>
      <w:lang w:val="pt-BR" w:eastAsia="pt-BR"/>
    </w:rPr>
  </w:style>
  <w:style w:type="paragraph" w:styleId="14">
    <w:name w:val="header"/>
    <w:basedOn w:val="1"/>
    <w:link w:val="21"/>
    <w:unhideWhenUsed/>
    <w:qFormat/>
    <w:uiPriority w:val="0"/>
    <w:pPr>
      <w:tabs>
        <w:tab w:val="center" w:pos="4252"/>
        <w:tab w:val="right" w:pos="8504"/>
      </w:tabs>
    </w:pPr>
  </w:style>
  <w:style w:type="paragraph" w:styleId="15">
    <w:name w:val="footer"/>
    <w:basedOn w:val="1"/>
    <w:link w:val="22"/>
    <w:unhideWhenUsed/>
    <w:qFormat/>
    <w:uiPriority w:val="99"/>
    <w:pPr>
      <w:tabs>
        <w:tab w:val="center" w:pos="4252"/>
        <w:tab w:val="right" w:pos="8504"/>
      </w:tabs>
    </w:pPr>
  </w:style>
  <w:style w:type="paragraph" w:styleId="16">
    <w:name w:val="Balloon Text"/>
    <w:basedOn w:val="1"/>
    <w:link w:val="36"/>
    <w:semiHidden/>
    <w:unhideWhenUsed/>
    <w:qFormat/>
    <w:uiPriority w:val="99"/>
    <w:rPr>
      <w:rFonts w:ascii="Segoe UI" w:hAnsi="Segoe UI" w:cs="Segoe UI"/>
      <w:sz w:val="18"/>
      <w:szCs w:val="18"/>
    </w:rPr>
  </w:style>
  <w:style w:type="table" w:styleId="17">
    <w:name w:val="Table Grid"/>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link w:val="55"/>
    <w:qFormat/>
    <w:uiPriority w:val="34"/>
    <w:pPr>
      <w:spacing w:before="121"/>
      <w:ind w:left="301"/>
    </w:pPr>
  </w:style>
  <w:style w:type="paragraph" w:customStyle="1" w:styleId="20">
    <w:name w:val="Table Paragraph"/>
    <w:basedOn w:val="1"/>
    <w:qFormat/>
    <w:uiPriority w:val="1"/>
  </w:style>
  <w:style w:type="character" w:customStyle="1" w:styleId="21">
    <w:name w:val="Cabeçalho Char"/>
    <w:basedOn w:val="5"/>
    <w:link w:val="14"/>
    <w:qFormat/>
    <w:uiPriority w:val="0"/>
    <w:rPr>
      <w:rFonts w:ascii="Verdana" w:hAnsi="Verdana" w:eastAsia="Verdana" w:cs="Verdana"/>
      <w:lang w:val="pt-PT"/>
    </w:rPr>
  </w:style>
  <w:style w:type="character" w:customStyle="1" w:styleId="22">
    <w:name w:val="Rodapé Char"/>
    <w:basedOn w:val="5"/>
    <w:link w:val="15"/>
    <w:qFormat/>
    <w:uiPriority w:val="99"/>
    <w:rPr>
      <w:rFonts w:ascii="Verdana" w:hAnsi="Verdana" w:eastAsia="Verdana" w:cs="Verdana"/>
      <w:lang w:val="pt-PT"/>
    </w:rPr>
  </w:style>
  <w:style w:type="paragraph" w:styleId="23">
    <w:name w:val="No Spacing"/>
    <w:link w:val="25"/>
    <w:qFormat/>
    <w:uiPriority w:val="1"/>
    <w:rPr>
      <w:rFonts w:ascii="Calibri" w:hAnsi="Calibri" w:eastAsia="Times New Roman" w:cs="Times New Roman"/>
      <w:sz w:val="22"/>
      <w:szCs w:val="22"/>
      <w:lang w:val="pt-BR" w:eastAsia="pt-BR" w:bidi="ar-SA"/>
    </w:rPr>
  </w:style>
  <w:style w:type="character" w:customStyle="1" w:styleId="24">
    <w:name w:val="Título 8 Char"/>
    <w:basedOn w:val="5"/>
    <w:link w:val="4"/>
    <w:qFormat/>
    <w:uiPriority w:val="0"/>
    <w:rPr>
      <w:rFonts w:ascii="Calibri" w:hAnsi="Calibri" w:eastAsia="Times New Roman" w:cs="Times New Roman"/>
      <w:i/>
      <w:iCs/>
      <w:sz w:val="24"/>
      <w:szCs w:val="24"/>
    </w:rPr>
  </w:style>
  <w:style w:type="character" w:customStyle="1" w:styleId="25">
    <w:name w:val="Sem Espaçamento Char"/>
    <w:link w:val="23"/>
    <w:qFormat/>
    <w:uiPriority w:val="1"/>
    <w:rPr>
      <w:rFonts w:ascii="Calibri" w:hAnsi="Calibri" w:eastAsia="Times New Roman" w:cs="Times New Roman"/>
      <w:sz w:val="22"/>
      <w:szCs w:val="22"/>
    </w:rPr>
  </w:style>
  <w:style w:type="paragraph" w:styleId="26">
    <w:name w:val="Quote"/>
    <w:basedOn w:val="1"/>
    <w:next w:val="1"/>
    <w:link w:val="27"/>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ahoma"/>
      <w:i/>
      <w:iCs/>
      <w:color w:val="000000"/>
      <w:sz w:val="20"/>
      <w:szCs w:val="24"/>
      <w:lang w:val="pt-BR"/>
    </w:rPr>
  </w:style>
  <w:style w:type="character" w:customStyle="1" w:styleId="27">
    <w:name w:val="Citação Char"/>
    <w:basedOn w:val="5"/>
    <w:link w:val="26"/>
    <w:qFormat/>
    <w:uiPriority w:val="29"/>
    <w:rPr>
      <w:rFonts w:ascii="Ecofont_Spranq_eco_Sans" w:hAnsi="Ecofont_Spranq_eco_Sans" w:eastAsia="Calibri" w:cs="Tahoma"/>
      <w:i/>
      <w:iCs/>
      <w:color w:val="000000"/>
      <w:szCs w:val="24"/>
      <w:shd w:val="clear" w:color="auto" w:fill="FFFFCC"/>
      <w:lang w:eastAsia="en-US"/>
    </w:rPr>
  </w:style>
  <w:style w:type="paragraph" w:customStyle="1" w:styleId="28">
    <w:name w:val="citação 2"/>
    <w:basedOn w:val="26"/>
    <w:link w:val="29"/>
    <w:qFormat/>
    <w:uiPriority w:val="0"/>
  </w:style>
  <w:style w:type="character" w:customStyle="1" w:styleId="29">
    <w:name w:val="citação 2 Char"/>
    <w:basedOn w:val="27"/>
    <w:link w:val="28"/>
    <w:qFormat/>
    <w:uiPriority w:val="0"/>
    <w:rPr>
      <w:rFonts w:ascii="Ecofont_Spranq_eco_Sans" w:hAnsi="Ecofont_Spranq_eco_Sans" w:eastAsia="Calibri" w:cs="Tahoma"/>
      <w:color w:val="000000"/>
      <w:szCs w:val="24"/>
      <w:shd w:val="clear" w:color="auto" w:fill="FFFFCC"/>
      <w:lang w:eastAsia="en-US"/>
    </w:rPr>
  </w:style>
  <w:style w:type="paragraph" w:customStyle="1" w:styleId="30">
    <w:name w:val="Grade Colorida - Ênfase 11"/>
    <w:basedOn w:val="1"/>
    <w:next w:val="1"/>
    <w:link w:val="31"/>
    <w:qFormat/>
    <w:uiPriority w:val="29"/>
    <w:pPr>
      <w:widowControl/>
      <w:pBdr>
        <w:top w:val="single" w:color="1F497D" w:sz="4" w:space="1"/>
        <w:left w:val="single" w:color="1F497D" w:sz="4" w:space="4"/>
        <w:bottom w:val="single" w:color="1F497D" w:sz="4" w:space="1"/>
        <w:right w:val="single" w:color="1F497D" w:sz="4" w:space="4"/>
      </w:pBdr>
      <w:shd w:val="clear" w:color="auto" w:fill="FFFFCC"/>
      <w:autoSpaceDE/>
      <w:autoSpaceDN/>
      <w:spacing w:before="120"/>
      <w:jc w:val="both"/>
    </w:pPr>
    <w:rPr>
      <w:rFonts w:ascii="Ecofont_Spranq_eco_Sans" w:hAnsi="Ecofont_Spranq_eco_Sans" w:eastAsia="Calibri" w:cs="Times New Roman"/>
      <w:i/>
      <w:iCs/>
      <w:color w:val="000000"/>
      <w:sz w:val="20"/>
      <w:szCs w:val="24"/>
      <w:lang w:val="zh-CN"/>
    </w:rPr>
  </w:style>
  <w:style w:type="character" w:customStyle="1" w:styleId="31">
    <w:name w:val="Grade Colorida - Ênfase 1 Char"/>
    <w:link w:val="30"/>
    <w:qFormat/>
    <w:uiPriority w:val="29"/>
    <w:rPr>
      <w:rFonts w:ascii="Ecofont_Spranq_eco_Sans" w:hAnsi="Ecofont_Spranq_eco_Sans" w:eastAsia="Calibri" w:cs="Times New Roman"/>
      <w:i/>
      <w:iCs/>
      <w:color w:val="000000"/>
      <w:szCs w:val="24"/>
      <w:shd w:val="clear" w:color="auto" w:fill="FFFFCC"/>
      <w:lang w:val="zh-CN" w:eastAsia="en-US"/>
    </w:rPr>
  </w:style>
  <w:style w:type="paragraph" w:customStyle="1" w:styleId="32">
    <w:name w:val="Nivel_01_Titulo"/>
    <w:basedOn w:val="2"/>
    <w:next w:val="1"/>
    <w:link w:val="33"/>
    <w:qFormat/>
    <w:uiPriority w:val="0"/>
    <w:pPr>
      <w:keepNext/>
      <w:keepLines/>
      <w:widowControl/>
      <w:tabs>
        <w:tab w:val="left" w:pos="567"/>
      </w:tabs>
      <w:autoSpaceDE/>
      <w:autoSpaceDN/>
      <w:spacing w:before="240" w:line="240" w:lineRule="auto"/>
      <w:ind w:left="0"/>
    </w:pPr>
    <w:rPr>
      <w:rFonts w:ascii="Ecofont_Spranq_eco_Sans" w:hAnsi="Ecofont_Spranq_eco_Sans" w:eastAsiaTheme="majorEastAsia" w:cstheme="majorBidi"/>
      <w:b/>
      <w:bCs/>
      <w:color w:val="000000"/>
      <w:szCs w:val="28"/>
      <w:lang w:val="pt-BR"/>
    </w:rPr>
  </w:style>
  <w:style w:type="character" w:customStyle="1" w:styleId="33">
    <w:name w:val="Nivel_01_Titulo Char"/>
    <w:basedOn w:val="27"/>
    <w:link w:val="32"/>
    <w:qFormat/>
    <w:uiPriority w:val="0"/>
    <w:rPr>
      <w:rFonts w:ascii="Ecofont_Spranq_eco_Sans" w:hAnsi="Ecofont_Spranq_eco_Sans" w:eastAsiaTheme="majorEastAsia" w:cstheme="majorBidi"/>
      <w:b/>
      <w:bCs/>
      <w:i w:val="0"/>
      <w:iCs w:val="0"/>
      <w:color w:val="000000"/>
      <w:szCs w:val="28"/>
      <w:shd w:val="clear" w:color="auto" w:fill="FFFFCC"/>
      <w:lang w:eastAsia="en-US"/>
    </w:rPr>
  </w:style>
  <w:style w:type="paragraph" w:customStyle="1" w:styleId="34">
    <w:name w:val="Nivel_01"/>
    <w:basedOn w:val="2"/>
    <w:link w:val="35"/>
    <w:qFormat/>
    <w:uiPriority w:val="0"/>
    <w:pPr>
      <w:keepNext/>
      <w:keepLines/>
      <w:widowControl/>
      <w:tabs>
        <w:tab w:val="left" w:pos="567"/>
      </w:tabs>
      <w:autoSpaceDE/>
      <w:autoSpaceDN/>
      <w:spacing w:before="240" w:line="240" w:lineRule="auto"/>
      <w:ind w:left="0"/>
      <w:jc w:val="both"/>
    </w:pPr>
    <w:rPr>
      <w:rFonts w:ascii="Ecofont_Spranq_eco_Sans" w:hAnsi="Ecofont_Spranq_eco_Sans" w:cs="Times New Roman" w:eastAsiaTheme="majorEastAsia"/>
      <w:b/>
      <w:bCs/>
      <w:lang w:val="pt-BR" w:eastAsia="pt-BR"/>
    </w:rPr>
  </w:style>
  <w:style w:type="character" w:customStyle="1" w:styleId="35">
    <w:name w:val="Nivel_01 Char"/>
    <w:basedOn w:val="5"/>
    <w:link w:val="34"/>
    <w:qFormat/>
    <w:uiPriority w:val="0"/>
    <w:rPr>
      <w:rFonts w:ascii="Ecofont_Spranq_eco_Sans" w:hAnsi="Ecofont_Spranq_eco_Sans" w:cs="Times New Roman" w:eastAsiaTheme="majorEastAsia"/>
      <w:b/>
      <w:bCs/>
    </w:rPr>
  </w:style>
  <w:style w:type="character" w:customStyle="1" w:styleId="36">
    <w:name w:val="Texto de balão Char"/>
    <w:basedOn w:val="5"/>
    <w:link w:val="16"/>
    <w:semiHidden/>
    <w:qFormat/>
    <w:uiPriority w:val="99"/>
    <w:rPr>
      <w:rFonts w:ascii="Segoe UI" w:hAnsi="Segoe UI" w:eastAsia="Verdana" w:cs="Segoe UI"/>
      <w:sz w:val="18"/>
      <w:szCs w:val="18"/>
      <w:lang w:val="pt-PT" w:eastAsia="en-US"/>
    </w:rPr>
  </w:style>
  <w:style w:type="paragraph" w:customStyle="1" w:styleId="37">
    <w:name w:val="Parágrafo da Lista1"/>
    <w:basedOn w:val="38"/>
    <w:qFormat/>
    <w:uiPriority w:val="0"/>
    <w:pPr>
      <w:widowControl/>
      <w:suppressAutoHyphens/>
      <w:autoSpaceDE/>
      <w:autoSpaceDN/>
      <w:ind w:left="720"/>
      <w:contextualSpacing/>
    </w:pPr>
    <w:rPr>
      <w:rFonts w:ascii="Ecofont_Spranq_eco_Sans" w:hAnsi="Ecofont_Spranq_eco_Sans" w:eastAsia="Times New Roman" w:cs="Tahoma"/>
      <w:sz w:val="24"/>
      <w:szCs w:val="24"/>
      <w:lang w:val="pt-BR" w:eastAsia="pt-BR"/>
    </w:rPr>
  </w:style>
  <w:style w:type="paragraph" w:customStyle="1" w:styleId="38">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paragraph" w:customStyle="1" w:styleId="39">
    <w:name w:val="Parágrafo da Lista2"/>
    <w:basedOn w:val="1"/>
    <w:qFormat/>
    <w:uiPriority w:val="0"/>
    <w:pPr>
      <w:widowControl/>
      <w:suppressAutoHyphens/>
      <w:autoSpaceDE/>
      <w:autoSpaceDN/>
      <w:ind w:left="720"/>
      <w:contextualSpacing/>
    </w:pPr>
    <w:rPr>
      <w:rFonts w:ascii="Ecofont_Spranq_eco_Sans" w:hAnsi="Ecofont_Spranq_eco_Sans" w:eastAsia="Times New Roman" w:cs="Tahoma"/>
      <w:kern w:val="1"/>
      <w:sz w:val="24"/>
      <w:szCs w:val="24"/>
      <w:lang w:val="pt-BR" w:eastAsia="pt-BR"/>
    </w:rPr>
  </w:style>
  <w:style w:type="paragraph" w:customStyle="1" w:styleId="40">
    <w:name w:val="Conteúdo do quadro"/>
    <w:basedOn w:val="1"/>
    <w:qFormat/>
    <w:uiPriority w:val="0"/>
    <w:pPr>
      <w:widowControl/>
      <w:suppressAutoHyphens/>
      <w:autoSpaceDE/>
      <w:autoSpaceDN/>
    </w:pPr>
    <w:rPr>
      <w:rFonts w:ascii="Ecofont_Spranq_eco_Sans" w:hAnsi="Ecofont_Spranq_eco_Sans" w:eastAsia="Times New Roman" w:cs="Tahoma"/>
      <w:kern w:val="1"/>
      <w:sz w:val="24"/>
      <w:szCs w:val="24"/>
      <w:lang w:val="pt-BR" w:eastAsia="pt-BR"/>
    </w:rPr>
  </w:style>
  <w:style w:type="table" w:customStyle="1" w:styleId="41">
    <w:name w:val="Tabela com grade1"/>
    <w:basedOn w:val="6"/>
    <w:qFormat/>
    <w:uiPriority w:val="0"/>
    <w:rPr>
      <w:rFonts w:ascii="Times New Roman" w:hAnsi="Times New Roman" w:eastAsia="Times New Roman"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2">
    <w:name w:val="Unresolved Mention"/>
    <w:basedOn w:val="5"/>
    <w:semiHidden/>
    <w:unhideWhenUsed/>
    <w:qFormat/>
    <w:uiPriority w:val="99"/>
    <w:rPr>
      <w:color w:val="605E5C"/>
      <w:shd w:val="clear" w:color="auto" w:fill="E1DFDD"/>
    </w:rPr>
  </w:style>
  <w:style w:type="paragraph" w:customStyle="1" w:styleId="43">
    <w:name w:val="Nivel1"/>
    <w:basedOn w:val="2"/>
    <w:next w:val="1"/>
    <w:qFormat/>
    <w:uiPriority w:val="0"/>
    <w:pPr>
      <w:keepNext/>
      <w:keepLines/>
      <w:widowControl/>
      <w:numPr>
        <w:ilvl w:val="0"/>
        <w:numId w:val="1"/>
      </w:numPr>
      <w:autoSpaceDE/>
      <w:autoSpaceDN/>
      <w:spacing w:before="480" w:after="120" w:line="276" w:lineRule="auto"/>
      <w:jc w:val="both"/>
    </w:pPr>
    <w:rPr>
      <w:rFonts w:eastAsiaTheme="majorEastAsia"/>
      <w:b/>
      <w:color w:val="000000"/>
      <w:sz w:val="32"/>
      <w:szCs w:val="32"/>
      <w:lang w:val="pt-BR"/>
    </w:rPr>
  </w:style>
  <w:style w:type="paragraph" w:customStyle="1" w:styleId="44">
    <w:name w:val="Nivel 01"/>
    <w:basedOn w:val="2"/>
    <w:next w:val="1"/>
    <w:link w:val="57"/>
    <w:qFormat/>
    <w:uiPriority w:val="0"/>
    <w:pPr>
      <w:keepNext/>
      <w:keepLines/>
      <w:widowControl/>
      <w:tabs>
        <w:tab w:val="left" w:pos="567"/>
      </w:tabs>
      <w:autoSpaceDE/>
      <w:autoSpaceDN/>
      <w:spacing w:before="240" w:line="240" w:lineRule="auto"/>
      <w:ind w:left="0"/>
      <w:jc w:val="both"/>
    </w:pPr>
    <w:rPr>
      <w:rFonts w:eastAsiaTheme="majorEastAsia"/>
      <w:b/>
      <w:bCs/>
      <w:lang w:val="pt-BR" w:eastAsia="pt-BR"/>
    </w:rPr>
  </w:style>
  <w:style w:type="paragraph" w:customStyle="1" w:styleId="45">
    <w:name w:val="Nivel 2"/>
    <w:basedOn w:val="1"/>
    <w:link w:val="54"/>
    <w:qFormat/>
    <w:uiPriority w:val="0"/>
    <w:pPr>
      <w:widowControl/>
      <w:autoSpaceDE/>
      <w:autoSpaceDN/>
      <w:spacing w:before="120" w:after="120" w:line="276" w:lineRule="auto"/>
      <w:jc w:val="both"/>
    </w:pPr>
    <w:rPr>
      <w:rFonts w:ascii="Arial" w:hAnsi="Arial" w:cs="Arial" w:eastAsiaTheme="minorEastAsia"/>
      <w:color w:val="000000"/>
      <w:sz w:val="20"/>
      <w:szCs w:val="20"/>
      <w:lang w:val="pt-BR" w:eastAsia="pt-BR"/>
    </w:rPr>
  </w:style>
  <w:style w:type="paragraph" w:customStyle="1" w:styleId="46">
    <w:name w:val="Nivel 3"/>
    <w:basedOn w:val="1"/>
    <w:link w:val="56"/>
    <w:qFormat/>
    <w:uiPriority w:val="0"/>
    <w:pPr>
      <w:widowControl/>
      <w:autoSpaceDE/>
      <w:autoSpaceDN/>
      <w:spacing w:before="120" w:after="120" w:line="276" w:lineRule="auto"/>
      <w:ind w:left="284"/>
      <w:jc w:val="both"/>
    </w:pPr>
    <w:rPr>
      <w:rFonts w:ascii="Arial" w:hAnsi="Arial" w:cs="Arial" w:eastAsiaTheme="minorEastAsia"/>
      <w:color w:val="000000"/>
      <w:sz w:val="20"/>
      <w:szCs w:val="20"/>
      <w:lang w:val="pt-BR" w:eastAsia="pt-BR"/>
    </w:rPr>
  </w:style>
  <w:style w:type="paragraph" w:customStyle="1" w:styleId="47">
    <w:name w:val="Nivel 4"/>
    <w:basedOn w:val="46"/>
    <w:link w:val="60"/>
    <w:qFormat/>
    <w:uiPriority w:val="0"/>
    <w:pPr>
      <w:ind w:left="567"/>
    </w:pPr>
    <w:rPr>
      <w:color w:val="auto"/>
    </w:rPr>
  </w:style>
  <w:style w:type="paragraph" w:customStyle="1" w:styleId="48">
    <w:name w:val="Nivel 5"/>
    <w:basedOn w:val="47"/>
    <w:qFormat/>
    <w:uiPriority w:val="0"/>
    <w:pPr>
      <w:ind w:left="1276"/>
    </w:pPr>
  </w:style>
  <w:style w:type="character" w:customStyle="1" w:styleId="49">
    <w:name w:val="Texto de comentário Char"/>
    <w:basedOn w:val="5"/>
    <w:link w:val="11"/>
    <w:qFormat/>
    <w:uiPriority w:val="99"/>
    <w:rPr>
      <w:rFonts w:ascii="Ecofont_Spranq_eco_Sans" w:hAnsi="Ecofont_Spranq_eco_Sans" w:cs="Tahoma" w:eastAsiaTheme="minorEastAsia"/>
    </w:rPr>
  </w:style>
  <w:style w:type="paragraph" w:customStyle="1" w:styleId="50">
    <w:name w:val="Nível 2 -Red"/>
    <w:basedOn w:val="45"/>
    <w:link w:val="51"/>
    <w:qFormat/>
    <w:uiPriority w:val="0"/>
    <w:pPr>
      <w:numPr>
        <w:ilvl w:val="1"/>
        <w:numId w:val="2"/>
      </w:numPr>
    </w:pPr>
    <w:rPr>
      <w:i/>
      <w:iCs/>
      <w:color w:val="FF0000"/>
    </w:rPr>
  </w:style>
  <w:style w:type="character" w:customStyle="1" w:styleId="51">
    <w:name w:val="Nível 2 -Red Char"/>
    <w:basedOn w:val="5"/>
    <w:link w:val="50"/>
    <w:qFormat/>
    <w:uiPriority w:val="0"/>
    <w:rPr>
      <w:rFonts w:ascii="Arial" w:hAnsi="Arial" w:cs="Arial" w:eastAsiaTheme="minorEastAsia"/>
      <w:i/>
      <w:iCs/>
      <w:color w:val="FF0000"/>
    </w:rPr>
  </w:style>
  <w:style w:type="paragraph" w:customStyle="1" w:styleId="52">
    <w:name w:val="ou"/>
    <w:basedOn w:val="19"/>
    <w:link w:val="53"/>
    <w:qFormat/>
    <w:uiPriority w:val="0"/>
    <w:pPr>
      <w:widowControl/>
      <w:autoSpaceDE/>
      <w:autoSpaceDN/>
      <w:spacing w:before="60" w:after="60" w:line="259" w:lineRule="auto"/>
      <w:ind w:left="0"/>
      <w:jc w:val="center"/>
    </w:pPr>
    <w:rPr>
      <w:rFonts w:ascii="Arial" w:hAnsi="Arial" w:cs="Arial" w:eastAsiaTheme="minorHAnsi"/>
      <w:b/>
      <w:bCs/>
      <w:i/>
      <w:iCs/>
      <w:color w:val="FF0000"/>
      <w:sz w:val="24"/>
      <w:szCs w:val="24"/>
      <w:u w:val="single"/>
      <w:lang w:val="pt-BR" w:eastAsia="pt-BR"/>
    </w:rPr>
  </w:style>
  <w:style w:type="character" w:customStyle="1" w:styleId="53">
    <w:name w:val="ou Char"/>
    <w:basedOn w:val="5"/>
    <w:link w:val="52"/>
    <w:qFormat/>
    <w:uiPriority w:val="0"/>
    <w:rPr>
      <w:rFonts w:ascii="Arial" w:hAnsi="Arial" w:cs="Arial"/>
      <w:b/>
      <w:bCs/>
      <w:i/>
      <w:iCs/>
      <w:color w:val="FF0000"/>
      <w:sz w:val="24"/>
      <w:szCs w:val="24"/>
      <w:u w:val="single"/>
    </w:rPr>
  </w:style>
  <w:style w:type="character" w:customStyle="1" w:styleId="54">
    <w:name w:val="Nivel 2 Char"/>
    <w:basedOn w:val="5"/>
    <w:link w:val="45"/>
    <w:qFormat/>
    <w:locked/>
    <w:uiPriority w:val="0"/>
    <w:rPr>
      <w:rFonts w:ascii="Arial" w:hAnsi="Arial" w:cs="Arial" w:eastAsiaTheme="minorEastAsia"/>
      <w:color w:val="000000"/>
    </w:rPr>
  </w:style>
  <w:style w:type="character" w:customStyle="1" w:styleId="55">
    <w:name w:val="Parágrafo da Lista Char"/>
    <w:basedOn w:val="5"/>
    <w:link w:val="19"/>
    <w:qFormat/>
    <w:uiPriority w:val="34"/>
    <w:rPr>
      <w:rFonts w:ascii="Verdana" w:hAnsi="Verdana" w:eastAsia="Verdana" w:cs="Verdana"/>
      <w:sz w:val="22"/>
      <w:szCs w:val="22"/>
      <w:lang w:val="pt-PT" w:eastAsia="en-US"/>
    </w:rPr>
  </w:style>
  <w:style w:type="character" w:customStyle="1" w:styleId="56">
    <w:name w:val="Nivel 3 Char"/>
    <w:basedOn w:val="5"/>
    <w:link w:val="46"/>
    <w:qFormat/>
    <w:uiPriority w:val="0"/>
    <w:rPr>
      <w:rFonts w:ascii="Arial" w:hAnsi="Arial" w:cs="Arial" w:eastAsiaTheme="minorEastAsia"/>
      <w:color w:val="000000"/>
    </w:rPr>
  </w:style>
  <w:style w:type="character" w:customStyle="1" w:styleId="57">
    <w:name w:val="Nivel 01 Char"/>
    <w:basedOn w:val="5"/>
    <w:link w:val="44"/>
    <w:qFormat/>
    <w:uiPriority w:val="0"/>
    <w:rPr>
      <w:rFonts w:ascii="Arial" w:hAnsi="Arial" w:cs="Arial" w:eastAsiaTheme="majorEastAsia"/>
      <w:b/>
      <w:bCs/>
    </w:rPr>
  </w:style>
  <w:style w:type="character" w:customStyle="1" w:styleId="58">
    <w:name w:val="Nível 3-R Char"/>
    <w:basedOn w:val="5"/>
    <w:link w:val="59"/>
    <w:qFormat/>
    <w:locked/>
    <w:uiPriority w:val="0"/>
    <w:rPr>
      <w:rFonts w:ascii="Arial" w:hAnsi="Arial" w:cs="Arial"/>
      <w:i/>
      <w:iCs/>
      <w:color w:val="FF0000"/>
    </w:rPr>
  </w:style>
  <w:style w:type="paragraph" w:customStyle="1" w:styleId="59">
    <w:name w:val="Nível 3-R"/>
    <w:basedOn w:val="46"/>
    <w:link w:val="58"/>
    <w:qFormat/>
    <w:uiPriority w:val="0"/>
    <w:pPr>
      <w:numPr>
        <w:ilvl w:val="2"/>
        <w:numId w:val="2"/>
      </w:numPr>
    </w:pPr>
    <w:rPr>
      <w:rFonts w:eastAsiaTheme="minorHAnsi"/>
      <w:i/>
      <w:iCs/>
      <w:color w:val="FF0000"/>
    </w:rPr>
  </w:style>
  <w:style w:type="character" w:customStyle="1" w:styleId="60">
    <w:name w:val="Nivel 4 Char"/>
    <w:basedOn w:val="5"/>
    <w:link w:val="47"/>
    <w:qFormat/>
    <w:locked/>
    <w:uiPriority w:val="0"/>
    <w:rPr>
      <w:rFonts w:ascii="Arial" w:hAnsi="Arial" w:cs="Arial" w:eastAsiaTheme="minorEastAsia"/>
    </w:rPr>
  </w:style>
  <w:style w:type="character" w:customStyle="1" w:styleId="61">
    <w:name w:val="Fonte parág. padrão11"/>
    <w:qFormat/>
    <w:uiPriority w:val="0"/>
  </w:style>
  <w:style w:type="paragraph" w:customStyle="1" w:styleId="62">
    <w:name w:val="Parágrafo da Lista"/>
    <w:basedOn w:val="38"/>
    <w:qFormat/>
    <w:uiPriority w:val="0"/>
    <w:pPr>
      <w:suppressAutoHyphens/>
      <w:spacing w:after="200" w:line="276" w:lineRule="auto"/>
      <w:ind w:left="720"/>
    </w:pPr>
    <w:rPr>
      <w:rFonts w:ascii="Calibri" w:hAnsi="Calibri" w:eastAsia="Calibri" w:cs="Calibri"/>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621F75-4E71-43BD-9343-F74090436DF0}">
  <ds:schemaRefs/>
</ds:datastoreItem>
</file>

<file path=docProps/app.xml><?xml version="1.0" encoding="utf-8"?>
<Properties xmlns="http://schemas.openxmlformats.org/officeDocument/2006/extended-properties" xmlns:vt="http://schemas.openxmlformats.org/officeDocument/2006/docPropsVTypes">
  <Template>Normal</Template>
  <Pages>18</Pages>
  <Words>6139</Words>
  <Characters>33156</Characters>
  <Lines>276</Lines>
  <Paragraphs>78</Paragraphs>
  <TotalTime>9</TotalTime>
  <ScaleCrop>false</ScaleCrop>
  <LinksUpToDate>false</LinksUpToDate>
  <CharactersWithSpaces>39217</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2023-08-18T18:10:00Z</dcterms:created>
  <dc:creator>Jonathan Chaves</dc:creator>
  <cp:lastModifiedBy>louisa.spitz</cp:lastModifiedBy>
  <cp:lastPrinted>2023-08-22T17:19:00Z</cp:lastPrinted>
  <dcterms:modified xsi:type="dcterms:W3CDTF">2026-08-20T14:51:01Z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2020-06-24T00:00:00Z</vt:filetime>
  </property>
  <property fmtid="{D5CDD505-2E9C-101B-9397-08002B2CF9AE}" pid="3" name="Creator">
    <vt:lpwstr>PDFium</vt:lpwstr>
  </property>
  <property fmtid="{D5CDD505-2E9C-101B-9397-08002B2CF9AE}" pid="4" name="LastSaved">
    <vt:filetime>2020-06-24T00:00:00Z</vt:filetime>
  </property>
  <property fmtid="{D5CDD505-2E9C-101B-9397-08002B2CF9AE}" pid="5" name="KSOProductBuildVer">
    <vt:lpwstr>1046-12.2.0.23196</vt:lpwstr>
  </property>
  <property fmtid="{D5CDD505-2E9C-101B-9397-08002B2CF9AE}" pid="6" name="ICV">
    <vt:lpwstr>5BDC8CEBA3E94F8CA249749E2E807F87_12</vt:lpwstr>
  </property>
</Properties>
</file>